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E6" w:rsidRDefault="001E253C" w:rsidP="00CF2C81">
      <w:pPr>
        <w:tabs>
          <w:tab w:val="left" w:pos="5529"/>
        </w:tabs>
        <w:ind w:left="142" w:right="4110"/>
        <w:jc w:val="center"/>
      </w:pPr>
      <w:r>
        <w:rPr>
          <w:noProof/>
        </w:rPr>
        <w:drawing>
          <wp:inline distT="0" distB="0" distL="0" distR="0" wp14:anchorId="0634B620" wp14:editId="2F3B9CF4">
            <wp:extent cx="714375" cy="7334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375" cy="733425"/>
                    </a:xfrm>
                    <a:prstGeom prst="rect">
                      <a:avLst/>
                    </a:prstGeom>
                    <a:noFill/>
                    <a:ln w="9525">
                      <a:noFill/>
                      <a:miter lim="800000"/>
                      <a:headEnd/>
                      <a:tailEnd/>
                    </a:ln>
                  </pic:spPr>
                </pic:pic>
              </a:graphicData>
            </a:graphic>
          </wp:inline>
        </w:drawing>
      </w:r>
    </w:p>
    <w:p w:rsidR="00F743E6" w:rsidRDefault="008A39FE" w:rsidP="00CF2C81">
      <w:pPr>
        <w:ind w:right="3118" w:hanging="284"/>
        <w:rPr>
          <w:rFonts w:ascii="Palace Script MT" w:hAnsi="Palace Script MT"/>
          <w:i/>
          <w:sz w:val="64"/>
        </w:rPr>
      </w:pPr>
      <w:r>
        <w:rPr>
          <w:noProof/>
        </w:rPr>
        <mc:AlternateContent>
          <mc:Choice Requires="wps">
            <w:drawing>
              <wp:anchor distT="0" distB="0" distL="114300" distR="114300" simplePos="0" relativeHeight="251657728" behindDoc="0" locked="0" layoutInCell="0" allowOverlap="1" wp14:anchorId="1D010061" wp14:editId="4A784482">
                <wp:simplePos x="0" y="0"/>
                <wp:positionH relativeFrom="column">
                  <wp:posOffset>6659880</wp:posOffset>
                </wp:positionH>
                <wp:positionV relativeFrom="paragraph">
                  <wp:posOffset>381000</wp:posOffset>
                </wp:positionV>
                <wp:extent cx="400050" cy="12807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2807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1778F" w:rsidRDefault="00B177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10061" id="Rectangle 2" o:spid="_x0000_s1026" style="position:absolute;margin-left:524.4pt;margin-top:30pt;width:31.5pt;height:10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" o:allowincell="f" stroked="f" strokeweight="0">
                <v:textbox inset="0,0,0,0">
                  <w:txbxContent>
                    <w:p w:rsidR="00B1778F" w:rsidRDefault="00B1778F"/>
                  </w:txbxContent>
                </v:textbox>
              </v:rect>
            </w:pict>
          </mc:Fallback>
        </mc:AlternateContent>
      </w:r>
      <w:r w:rsidR="00A824E5">
        <w:rPr>
          <w:i/>
          <w:sz w:val="36"/>
        </w:rPr>
        <w:t xml:space="preserve"> Ministero dell’</w:t>
      </w:r>
      <w:r w:rsidR="00F743E6">
        <w:rPr>
          <w:i/>
          <w:sz w:val="36"/>
        </w:rPr>
        <w:t>Economia e d</w:t>
      </w:r>
      <w:bookmarkStart w:id="0" w:name="_GoBack"/>
      <w:bookmarkEnd w:id="0"/>
      <w:r w:rsidR="00F743E6">
        <w:rPr>
          <w:i/>
          <w:sz w:val="36"/>
        </w:rPr>
        <w:t>elle Finanze</w:t>
      </w:r>
      <w:r w:rsidR="00F743E6">
        <w:rPr>
          <w:rFonts w:ascii="Palace Script MT" w:hAnsi="Palace Script MT"/>
          <w:i/>
          <w:sz w:val="64"/>
        </w:rPr>
        <w:t xml:space="preserve"> </w:t>
      </w:r>
    </w:p>
    <w:p w:rsidR="00F743E6" w:rsidRDefault="00F743E6" w:rsidP="00C5703B">
      <w:pPr>
        <w:tabs>
          <w:tab w:val="left" w:pos="5529"/>
          <w:tab w:val="left" w:pos="5670"/>
          <w:tab w:val="left" w:pos="5812"/>
        </w:tabs>
        <w:spacing w:before="40"/>
        <w:ind w:right="3770" w:hanging="142"/>
        <w:jc w:val="center"/>
        <w:rPr>
          <w:smallCaps/>
          <w:sz w:val="22"/>
        </w:rPr>
      </w:pPr>
      <w:r>
        <w:rPr>
          <w:smallCaps/>
          <w:sz w:val="22"/>
        </w:rPr>
        <w:t>Dipartimento della Ragioneria Generale dello Stato</w:t>
      </w:r>
    </w:p>
    <w:p w:rsidR="00F743E6" w:rsidRPr="00A25550" w:rsidRDefault="00F743E6" w:rsidP="00CF2C81">
      <w:pPr>
        <w:tabs>
          <w:tab w:val="left" w:pos="0"/>
          <w:tab w:val="left" w:pos="5529"/>
          <w:tab w:val="left" w:pos="5670"/>
          <w:tab w:val="left" w:pos="5812"/>
        </w:tabs>
        <w:ind w:right="3969"/>
        <w:jc w:val="center"/>
        <w:rPr>
          <w:sz w:val="22"/>
          <w:szCs w:val="22"/>
        </w:rPr>
      </w:pPr>
      <w:r w:rsidRPr="00A25550">
        <w:rPr>
          <w:sz w:val="22"/>
          <w:szCs w:val="22"/>
        </w:rPr>
        <w:t>Ispettorato generale per gli ordinamenti del personale</w:t>
      </w:r>
    </w:p>
    <w:p w:rsidR="00F743E6" w:rsidRPr="00A25550" w:rsidRDefault="00F743E6" w:rsidP="00CF2C81">
      <w:pPr>
        <w:tabs>
          <w:tab w:val="left" w:pos="5529"/>
          <w:tab w:val="left" w:pos="5670"/>
          <w:tab w:val="left" w:pos="5812"/>
        </w:tabs>
        <w:ind w:right="3969"/>
        <w:jc w:val="center"/>
        <w:rPr>
          <w:sz w:val="22"/>
          <w:szCs w:val="22"/>
        </w:rPr>
      </w:pPr>
      <w:r w:rsidRPr="00A25550">
        <w:rPr>
          <w:sz w:val="22"/>
          <w:szCs w:val="22"/>
        </w:rPr>
        <w:t>e l’analisi dei costi del lavoro pubblico</w:t>
      </w:r>
    </w:p>
    <w:p w:rsidR="00F743E6" w:rsidRPr="00F17664" w:rsidRDefault="00693EBC" w:rsidP="00CF2C81">
      <w:pPr>
        <w:tabs>
          <w:tab w:val="left" w:pos="5529"/>
          <w:tab w:val="left" w:pos="5670"/>
          <w:tab w:val="left" w:pos="5812"/>
        </w:tabs>
        <w:ind w:right="3969"/>
        <w:jc w:val="center"/>
        <w:rPr>
          <w:b/>
          <w:sz w:val="24"/>
        </w:rPr>
      </w:pPr>
      <w:r w:rsidRPr="00F17664">
        <w:rPr>
          <w:b/>
          <w:sz w:val="22"/>
          <w:szCs w:val="22"/>
        </w:rPr>
        <w:t>Uffici</w:t>
      </w:r>
      <w:r w:rsidR="00380BF6" w:rsidRPr="00F17664">
        <w:rPr>
          <w:b/>
          <w:sz w:val="22"/>
          <w:szCs w:val="22"/>
        </w:rPr>
        <w:t>o</w:t>
      </w:r>
      <w:r w:rsidRPr="00F17664">
        <w:rPr>
          <w:b/>
          <w:sz w:val="22"/>
          <w:szCs w:val="22"/>
        </w:rPr>
        <w:t xml:space="preserve"> </w:t>
      </w:r>
      <w:r w:rsidR="00FC392F" w:rsidRPr="00F17664">
        <w:rPr>
          <w:b/>
          <w:sz w:val="22"/>
          <w:szCs w:val="22"/>
        </w:rPr>
        <w:t xml:space="preserve">II </w:t>
      </w:r>
      <w:r w:rsidR="005C763C" w:rsidRPr="00F17664">
        <w:rPr>
          <w:b/>
          <w:sz w:val="22"/>
          <w:szCs w:val="22"/>
        </w:rPr>
        <w:t>- IV</w:t>
      </w:r>
    </w:p>
    <w:p w:rsidR="0044088F" w:rsidRPr="00057B93" w:rsidRDefault="0044088F" w:rsidP="00B36B95">
      <w:pPr>
        <w:tabs>
          <w:tab w:val="left" w:pos="5529"/>
          <w:tab w:val="left" w:pos="6379"/>
        </w:tabs>
        <w:ind w:right="140"/>
        <w:jc w:val="both"/>
        <w:rPr>
          <w:sz w:val="24"/>
          <w:szCs w:val="24"/>
        </w:rPr>
      </w:pPr>
      <w:r w:rsidRPr="00057B93">
        <w:rPr>
          <w:sz w:val="24"/>
          <w:szCs w:val="24"/>
        </w:rPr>
        <w:t xml:space="preserve">                                                                                           </w:t>
      </w:r>
      <w:r w:rsidR="00B36B95">
        <w:rPr>
          <w:sz w:val="24"/>
          <w:szCs w:val="24"/>
        </w:rPr>
        <w:tab/>
      </w:r>
      <w:r w:rsidRPr="00057B93">
        <w:rPr>
          <w:sz w:val="24"/>
          <w:szCs w:val="24"/>
        </w:rPr>
        <w:t xml:space="preserve">Roma, </w:t>
      </w:r>
    </w:p>
    <w:p w:rsidR="0044088F" w:rsidRPr="00057B93" w:rsidRDefault="0044088F" w:rsidP="0044088F">
      <w:pPr>
        <w:ind w:right="140"/>
        <w:jc w:val="both"/>
        <w:rPr>
          <w:sz w:val="24"/>
          <w:szCs w:val="24"/>
        </w:rPr>
      </w:pPr>
      <w:r w:rsidRPr="00057B93">
        <w:rPr>
          <w:sz w:val="24"/>
          <w:szCs w:val="24"/>
        </w:rPr>
        <w:t xml:space="preserve">Prot. n.                                                                                                      </w:t>
      </w:r>
    </w:p>
    <w:p w:rsidR="0044088F" w:rsidRPr="00057B93" w:rsidRDefault="0044088F" w:rsidP="0044088F">
      <w:pPr>
        <w:ind w:right="140"/>
        <w:jc w:val="both"/>
        <w:rPr>
          <w:sz w:val="24"/>
          <w:szCs w:val="24"/>
        </w:rPr>
      </w:pPr>
      <w:r w:rsidRPr="00057B93">
        <w:rPr>
          <w:sz w:val="24"/>
          <w:szCs w:val="24"/>
        </w:rPr>
        <w:t xml:space="preserve">Rif. prot. entrata n. </w:t>
      </w:r>
      <w:r w:rsidR="0075009B">
        <w:rPr>
          <w:sz w:val="24"/>
          <w:szCs w:val="24"/>
        </w:rPr>
        <w:t>39639</w:t>
      </w:r>
      <w:r w:rsidR="007B0719">
        <w:rPr>
          <w:sz w:val="24"/>
          <w:szCs w:val="24"/>
        </w:rPr>
        <w:t>/202</w:t>
      </w:r>
      <w:r w:rsidR="0075009B">
        <w:rPr>
          <w:sz w:val="24"/>
          <w:szCs w:val="24"/>
        </w:rPr>
        <w:t>1</w:t>
      </w:r>
    </w:p>
    <w:p w:rsidR="0044088F" w:rsidRPr="00057B93" w:rsidRDefault="0044088F" w:rsidP="0044088F">
      <w:pPr>
        <w:ind w:right="140"/>
        <w:jc w:val="both"/>
        <w:rPr>
          <w:sz w:val="24"/>
          <w:szCs w:val="24"/>
        </w:rPr>
      </w:pPr>
      <w:r w:rsidRPr="00057B93">
        <w:rPr>
          <w:sz w:val="24"/>
          <w:szCs w:val="24"/>
        </w:rPr>
        <w:t>Allegati n.</w:t>
      </w:r>
      <w:r w:rsidRPr="00057B93">
        <w:rPr>
          <w:sz w:val="24"/>
          <w:szCs w:val="24"/>
        </w:rPr>
        <w:tab/>
      </w:r>
    </w:p>
    <w:p w:rsidR="0044088F" w:rsidRPr="00057B93" w:rsidRDefault="0044088F" w:rsidP="0044088F">
      <w:pPr>
        <w:tabs>
          <w:tab w:val="left" w:pos="4395"/>
        </w:tabs>
        <w:ind w:right="-57"/>
        <w:jc w:val="both"/>
        <w:rPr>
          <w:sz w:val="24"/>
          <w:szCs w:val="24"/>
        </w:rPr>
      </w:pPr>
      <w:r w:rsidRPr="00057B93">
        <w:rPr>
          <w:sz w:val="24"/>
          <w:szCs w:val="24"/>
        </w:rPr>
        <w:t>Risposta a nota prot.</w:t>
      </w:r>
      <w:r w:rsidRPr="00057B93">
        <w:rPr>
          <w:sz w:val="24"/>
          <w:szCs w:val="24"/>
        </w:rPr>
        <w:tab/>
      </w:r>
    </w:p>
    <w:p w:rsidR="007B0719" w:rsidRDefault="0044088F" w:rsidP="00F70DAB">
      <w:pPr>
        <w:tabs>
          <w:tab w:val="left" w:pos="4395"/>
        </w:tabs>
        <w:ind w:right="-57"/>
        <w:jc w:val="both"/>
        <w:rPr>
          <w:sz w:val="24"/>
          <w:szCs w:val="24"/>
        </w:rPr>
      </w:pPr>
      <w:r w:rsidRPr="00057B93">
        <w:rPr>
          <w:sz w:val="24"/>
          <w:szCs w:val="24"/>
        </w:rPr>
        <w:t xml:space="preserve">                                                                                  </w:t>
      </w:r>
    </w:p>
    <w:p w:rsidR="005B4077" w:rsidRDefault="007B0719" w:rsidP="005B4077">
      <w:pPr>
        <w:tabs>
          <w:tab w:val="left" w:pos="4395"/>
        </w:tabs>
        <w:ind w:right="-57"/>
        <w:jc w:val="both"/>
        <w:rPr>
          <w:sz w:val="24"/>
          <w:szCs w:val="24"/>
        </w:rPr>
      </w:pPr>
      <w:r>
        <w:rPr>
          <w:sz w:val="24"/>
          <w:szCs w:val="24"/>
        </w:rPr>
        <w:tab/>
      </w:r>
      <w:r w:rsidRPr="0075009B">
        <w:rPr>
          <w:sz w:val="24"/>
          <w:szCs w:val="24"/>
        </w:rPr>
        <w:t xml:space="preserve">  </w:t>
      </w:r>
      <w:r w:rsidR="005B4077">
        <w:rPr>
          <w:sz w:val="24"/>
          <w:szCs w:val="24"/>
        </w:rPr>
        <w:t xml:space="preserve">                       </w:t>
      </w:r>
    </w:p>
    <w:p w:rsidR="0075009B" w:rsidRPr="0075009B" w:rsidRDefault="005B4077" w:rsidP="005B4077">
      <w:pPr>
        <w:pStyle w:val="Corpotesto"/>
        <w:tabs>
          <w:tab w:val="left" w:pos="5529"/>
        </w:tabs>
        <w:spacing w:after="0"/>
        <w:ind w:right="85"/>
        <w:jc w:val="center"/>
        <w:rPr>
          <w:sz w:val="24"/>
          <w:szCs w:val="24"/>
        </w:rPr>
      </w:pPr>
      <w:r>
        <w:rPr>
          <w:sz w:val="24"/>
          <w:szCs w:val="24"/>
        </w:rPr>
        <w:tab/>
        <w:t>Dipartimento dell’Amministrazione</w:t>
      </w:r>
    </w:p>
    <w:p w:rsidR="0075009B" w:rsidRPr="0075009B" w:rsidRDefault="005B4077" w:rsidP="00314487">
      <w:pPr>
        <w:pStyle w:val="Corpotesto"/>
        <w:spacing w:after="0"/>
        <w:ind w:right="85"/>
        <w:jc w:val="right"/>
        <w:rPr>
          <w:sz w:val="24"/>
          <w:szCs w:val="24"/>
        </w:rPr>
      </w:pPr>
      <w:r>
        <w:rPr>
          <w:sz w:val="24"/>
          <w:szCs w:val="24"/>
        </w:rPr>
        <w:t>Generale, del Personale e dei Servizi</w:t>
      </w:r>
    </w:p>
    <w:p w:rsidR="005B4077" w:rsidRDefault="005B4077" w:rsidP="00314487">
      <w:pPr>
        <w:pStyle w:val="Corpotesto"/>
        <w:spacing w:after="0"/>
        <w:ind w:left="5672" w:right="85"/>
        <w:rPr>
          <w:sz w:val="24"/>
          <w:szCs w:val="24"/>
        </w:rPr>
      </w:pPr>
      <w:r>
        <w:rPr>
          <w:sz w:val="24"/>
          <w:szCs w:val="24"/>
        </w:rPr>
        <w:t>Direzione del Personale</w:t>
      </w:r>
      <w:r w:rsidR="0075009B" w:rsidRPr="0075009B">
        <w:rPr>
          <w:sz w:val="24"/>
          <w:szCs w:val="24"/>
        </w:rPr>
        <w:t xml:space="preserve"> </w:t>
      </w:r>
    </w:p>
    <w:p w:rsidR="0075009B" w:rsidRDefault="00EC115F" w:rsidP="00314487">
      <w:pPr>
        <w:pStyle w:val="Corpotesto"/>
        <w:spacing w:after="0"/>
        <w:ind w:left="5672" w:right="85"/>
        <w:rPr>
          <w:i/>
          <w:sz w:val="24"/>
          <w:szCs w:val="24"/>
        </w:rPr>
      </w:pPr>
      <w:hyperlink r:id="rId9" w:history="1">
        <w:r w:rsidR="005B4077" w:rsidRPr="0047674C">
          <w:rPr>
            <w:rStyle w:val="Collegamentoipertestuale"/>
            <w:i/>
            <w:sz w:val="24"/>
            <w:szCs w:val="24"/>
          </w:rPr>
          <w:t>dcp.dag@pec.mef.gov.it</w:t>
        </w:r>
      </w:hyperlink>
    </w:p>
    <w:p w:rsidR="005B4077" w:rsidRDefault="005B4077" w:rsidP="00314487">
      <w:pPr>
        <w:pStyle w:val="Corpotesto"/>
        <w:spacing w:after="0"/>
        <w:ind w:left="5672" w:right="85"/>
        <w:rPr>
          <w:i/>
          <w:sz w:val="22"/>
          <w:szCs w:val="22"/>
        </w:rPr>
      </w:pPr>
    </w:p>
    <w:p w:rsidR="005B4077" w:rsidRPr="0075009B" w:rsidRDefault="00314487" w:rsidP="005B4077">
      <w:pPr>
        <w:pStyle w:val="Corpotesto"/>
        <w:spacing w:after="0"/>
        <w:ind w:right="85"/>
        <w:jc w:val="right"/>
        <w:rPr>
          <w:sz w:val="24"/>
          <w:szCs w:val="24"/>
        </w:rPr>
      </w:pPr>
      <w:r>
        <w:rPr>
          <w:sz w:val="24"/>
          <w:szCs w:val="24"/>
        </w:rPr>
        <w:t xml:space="preserve">     </w:t>
      </w:r>
      <w:r w:rsidR="0075009B" w:rsidRPr="00F17664">
        <w:rPr>
          <w:i/>
          <w:sz w:val="24"/>
          <w:szCs w:val="24"/>
        </w:rPr>
        <w:t>e, per conoscenza</w:t>
      </w:r>
      <w:r w:rsidR="0075009B" w:rsidRPr="0075009B">
        <w:rPr>
          <w:sz w:val="24"/>
          <w:szCs w:val="24"/>
        </w:rPr>
        <w:t xml:space="preserve"> </w:t>
      </w:r>
      <w:r>
        <w:rPr>
          <w:sz w:val="24"/>
          <w:szCs w:val="24"/>
        </w:rPr>
        <w:t xml:space="preserve"> </w:t>
      </w:r>
      <w:r w:rsidR="005B4077" w:rsidRPr="0075009B">
        <w:rPr>
          <w:sz w:val="24"/>
          <w:szCs w:val="24"/>
        </w:rPr>
        <w:t>Presidenza del Consiglio dei</w:t>
      </w:r>
      <w:r w:rsidR="005B4077" w:rsidRPr="0075009B">
        <w:rPr>
          <w:spacing w:val="-24"/>
          <w:sz w:val="24"/>
          <w:szCs w:val="24"/>
        </w:rPr>
        <w:t xml:space="preserve"> </w:t>
      </w:r>
      <w:r w:rsidR="005B4077" w:rsidRPr="0075009B">
        <w:rPr>
          <w:sz w:val="24"/>
          <w:szCs w:val="24"/>
        </w:rPr>
        <w:t>Ministri</w:t>
      </w:r>
    </w:p>
    <w:p w:rsidR="005B4077" w:rsidRPr="0075009B" w:rsidRDefault="005B4077" w:rsidP="005B4077">
      <w:pPr>
        <w:pStyle w:val="Corpotesto"/>
        <w:spacing w:after="0"/>
        <w:ind w:right="85"/>
        <w:jc w:val="right"/>
        <w:rPr>
          <w:sz w:val="24"/>
          <w:szCs w:val="24"/>
        </w:rPr>
      </w:pPr>
      <w:r w:rsidRPr="0075009B">
        <w:rPr>
          <w:sz w:val="24"/>
          <w:szCs w:val="24"/>
        </w:rPr>
        <w:t xml:space="preserve">Dipartimento </w:t>
      </w:r>
      <w:r w:rsidRPr="0075009B">
        <w:rPr>
          <w:spacing w:val="-3"/>
          <w:sz w:val="24"/>
          <w:szCs w:val="24"/>
        </w:rPr>
        <w:t xml:space="preserve">della </w:t>
      </w:r>
      <w:r w:rsidRPr="0075009B">
        <w:rPr>
          <w:sz w:val="24"/>
          <w:szCs w:val="24"/>
        </w:rPr>
        <w:t>funzione</w:t>
      </w:r>
      <w:r w:rsidRPr="0075009B">
        <w:rPr>
          <w:spacing w:val="1"/>
          <w:sz w:val="24"/>
          <w:szCs w:val="24"/>
        </w:rPr>
        <w:t xml:space="preserve"> </w:t>
      </w:r>
      <w:r w:rsidRPr="0075009B">
        <w:rPr>
          <w:sz w:val="24"/>
          <w:szCs w:val="24"/>
        </w:rPr>
        <w:t>pubblica</w:t>
      </w:r>
    </w:p>
    <w:p w:rsidR="005B4077" w:rsidRDefault="005B4077" w:rsidP="005B4077">
      <w:pPr>
        <w:pStyle w:val="Corpotesto"/>
        <w:spacing w:after="0"/>
        <w:ind w:left="5672" w:right="85"/>
        <w:rPr>
          <w:i/>
          <w:sz w:val="22"/>
          <w:szCs w:val="22"/>
        </w:rPr>
      </w:pPr>
      <w:r w:rsidRPr="0075009B">
        <w:rPr>
          <w:sz w:val="24"/>
          <w:szCs w:val="24"/>
        </w:rPr>
        <w:t xml:space="preserve">Ufficio per l’organizzazione ed il </w:t>
      </w:r>
      <w:r>
        <w:rPr>
          <w:sz w:val="24"/>
          <w:szCs w:val="24"/>
        </w:rPr>
        <w:t xml:space="preserve">lavoro </w:t>
      </w:r>
      <w:r w:rsidRPr="00314487">
        <w:rPr>
          <w:sz w:val="22"/>
          <w:szCs w:val="22"/>
        </w:rPr>
        <w:t>pubblico</w:t>
      </w:r>
      <w:r w:rsidRPr="005C763C">
        <w:rPr>
          <w:i/>
          <w:sz w:val="22"/>
          <w:szCs w:val="22"/>
        </w:rPr>
        <w:t xml:space="preserve"> </w:t>
      </w:r>
    </w:p>
    <w:p w:rsidR="005B4077" w:rsidRPr="005C763C" w:rsidRDefault="00EC115F" w:rsidP="005B4077">
      <w:pPr>
        <w:pStyle w:val="Corpotesto"/>
        <w:spacing w:after="0"/>
        <w:ind w:left="5672" w:right="85"/>
        <w:rPr>
          <w:i/>
          <w:sz w:val="22"/>
          <w:szCs w:val="22"/>
        </w:rPr>
      </w:pPr>
      <w:hyperlink r:id="rId10" w:history="1">
        <w:r w:rsidR="005B4077" w:rsidRPr="0047674C">
          <w:rPr>
            <w:rStyle w:val="Collegamentoipertestuale"/>
            <w:i/>
            <w:sz w:val="22"/>
            <w:szCs w:val="22"/>
          </w:rPr>
          <w:t>protocollo</w:t>
        </w:r>
        <w:r w:rsidR="005B4077" w:rsidRPr="0047674C">
          <w:rPr>
            <w:rStyle w:val="Collegamentoipertestuale"/>
            <w:i/>
            <w:sz w:val="22"/>
            <w:szCs w:val="22"/>
          </w:rPr>
          <w:softHyphen/>
        </w:r>
        <w:r w:rsidR="005B4077" w:rsidRPr="0047674C">
          <w:rPr>
            <w:rStyle w:val="Collegamentoipertestuale"/>
            <w:i/>
            <w:sz w:val="22"/>
            <w:szCs w:val="22"/>
          </w:rPr>
          <w:softHyphen/>
        </w:r>
        <w:r w:rsidR="005B4077" w:rsidRPr="0047674C">
          <w:rPr>
            <w:rStyle w:val="Collegamentoipertestuale"/>
            <w:i/>
            <w:sz w:val="22"/>
            <w:szCs w:val="22"/>
          </w:rPr>
          <w:softHyphen/>
          <w:t>_dfp@mailbox.governo.it</w:t>
        </w:r>
      </w:hyperlink>
    </w:p>
    <w:p w:rsidR="005B4077" w:rsidRDefault="005B4077" w:rsidP="00314487">
      <w:pPr>
        <w:pStyle w:val="Corpotesto"/>
        <w:spacing w:after="0"/>
        <w:ind w:left="2836" w:firstLine="709"/>
        <w:rPr>
          <w:sz w:val="24"/>
          <w:szCs w:val="24"/>
        </w:rPr>
      </w:pPr>
    </w:p>
    <w:p w:rsidR="002B14D3" w:rsidRPr="00F70DAB" w:rsidRDefault="002B14D3" w:rsidP="00C975F2">
      <w:pPr>
        <w:tabs>
          <w:tab w:val="left" w:pos="4395"/>
        </w:tabs>
        <w:ind w:right="-57"/>
        <w:jc w:val="both"/>
        <w:rPr>
          <w:sz w:val="24"/>
          <w:szCs w:val="24"/>
        </w:rPr>
      </w:pPr>
    </w:p>
    <w:p w:rsidR="004E1F1E" w:rsidRPr="00057B93" w:rsidRDefault="0044088F" w:rsidP="007B3CF9">
      <w:pPr>
        <w:tabs>
          <w:tab w:val="left" w:pos="4395"/>
        </w:tabs>
        <w:ind w:right="-57"/>
        <w:jc w:val="both"/>
        <w:rPr>
          <w:b/>
          <w:color w:val="000000"/>
          <w:szCs w:val="24"/>
        </w:rPr>
      </w:pPr>
      <w:r w:rsidRPr="00057B93">
        <w:rPr>
          <w:sz w:val="24"/>
          <w:szCs w:val="24"/>
        </w:rPr>
        <w:tab/>
      </w:r>
      <w:r w:rsidRPr="00057B93">
        <w:rPr>
          <w:sz w:val="24"/>
          <w:szCs w:val="24"/>
        </w:rPr>
        <w:tab/>
      </w:r>
      <w:r w:rsidRPr="00057B93">
        <w:rPr>
          <w:sz w:val="24"/>
          <w:szCs w:val="24"/>
        </w:rPr>
        <w:tab/>
      </w:r>
      <w:r w:rsidRPr="00057B93">
        <w:rPr>
          <w:sz w:val="24"/>
          <w:szCs w:val="24"/>
        </w:rPr>
        <w:tab/>
      </w:r>
      <w:r w:rsidRPr="00057B93">
        <w:rPr>
          <w:sz w:val="24"/>
          <w:szCs w:val="24"/>
        </w:rPr>
        <w:tab/>
      </w:r>
      <w:r w:rsidRPr="00057B93">
        <w:rPr>
          <w:sz w:val="24"/>
          <w:szCs w:val="24"/>
        </w:rPr>
        <w:tab/>
      </w:r>
    </w:p>
    <w:p w:rsidR="00D7279A" w:rsidRPr="00F17664" w:rsidRDefault="005D3181" w:rsidP="00F17664">
      <w:pPr>
        <w:spacing w:line="360" w:lineRule="auto"/>
        <w:ind w:left="1276" w:hanging="1276"/>
        <w:jc w:val="both"/>
        <w:rPr>
          <w:b/>
          <w:bCs/>
          <w:sz w:val="24"/>
          <w:szCs w:val="24"/>
        </w:rPr>
      </w:pPr>
      <w:r w:rsidRPr="00F17664">
        <w:rPr>
          <w:b/>
          <w:color w:val="000000"/>
          <w:sz w:val="24"/>
          <w:szCs w:val="24"/>
        </w:rPr>
        <w:t>OGGETTO:</w:t>
      </w:r>
      <w:r w:rsidR="00FA6675" w:rsidRPr="00F17664">
        <w:rPr>
          <w:b/>
          <w:color w:val="000000"/>
          <w:sz w:val="24"/>
          <w:szCs w:val="24"/>
        </w:rPr>
        <w:t xml:space="preserve"> </w:t>
      </w:r>
      <w:r w:rsidR="00FA6675" w:rsidRPr="00F17664">
        <w:rPr>
          <w:b/>
          <w:sz w:val="24"/>
          <w:szCs w:val="24"/>
        </w:rPr>
        <w:t>Reclutamento di personale dirigenziale e non dirigenziale ai sensi d</w:t>
      </w:r>
      <w:r w:rsidR="00FC392F" w:rsidRPr="00F17664">
        <w:rPr>
          <w:b/>
          <w:sz w:val="24"/>
          <w:szCs w:val="24"/>
        </w:rPr>
        <w:t>e</w:t>
      </w:r>
      <w:r w:rsidR="00FA6675" w:rsidRPr="00F17664">
        <w:rPr>
          <w:b/>
          <w:sz w:val="24"/>
          <w:szCs w:val="24"/>
        </w:rPr>
        <w:t>ll’articolo 30 del decreto legislativo 30 marzo 2001, n. 165</w:t>
      </w:r>
    </w:p>
    <w:p w:rsidR="004969A7" w:rsidRPr="000F3904" w:rsidRDefault="004969A7" w:rsidP="001C402A">
      <w:pPr>
        <w:ind w:left="1134" w:hanging="1134"/>
        <w:jc w:val="both"/>
        <w:rPr>
          <w:b/>
          <w:bCs/>
          <w:sz w:val="24"/>
          <w:szCs w:val="24"/>
        </w:rPr>
      </w:pPr>
    </w:p>
    <w:p w:rsidR="007719B8" w:rsidRPr="00997A0A" w:rsidRDefault="007719B8" w:rsidP="00FA6675">
      <w:pPr>
        <w:pStyle w:val="Corpotesto"/>
        <w:spacing w:after="0" w:line="360" w:lineRule="auto"/>
        <w:ind w:right="-57" w:firstLine="709"/>
        <w:jc w:val="both"/>
        <w:rPr>
          <w:sz w:val="24"/>
          <w:szCs w:val="24"/>
        </w:rPr>
      </w:pPr>
      <w:r w:rsidRPr="000F3904">
        <w:rPr>
          <w:sz w:val="24"/>
          <w:szCs w:val="24"/>
        </w:rPr>
        <w:t xml:space="preserve">Con </w:t>
      </w:r>
      <w:r w:rsidR="00C078F3" w:rsidRPr="000F3904">
        <w:rPr>
          <w:sz w:val="24"/>
          <w:szCs w:val="24"/>
        </w:rPr>
        <w:t xml:space="preserve">la nota n. </w:t>
      </w:r>
      <w:r w:rsidRPr="000F3904">
        <w:rPr>
          <w:sz w:val="24"/>
          <w:szCs w:val="24"/>
        </w:rPr>
        <w:t xml:space="preserve">14366-P del 3 marzo </w:t>
      </w:r>
      <w:r w:rsidRPr="00997A0A">
        <w:rPr>
          <w:sz w:val="24"/>
          <w:szCs w:val="24"/>
        </w:rPr>
        <w:t>2021</w:t>
      </w:r>
      <w:r w:rsidR="0062636C" w:rsidRPr="00997A0A">
        <w:rPr>
          <w:sz w:val="24"/>
          <w:szCs w:val="24"/>
        </w:rPr>
        <w:t xml:space="preserve"> </w:t>
      </w:r>
      <w:r w:rsidR="005B4077" w:rsidRPr="00997A0A">
        <w:rPr>
          <w:sz w:val="24"/>
          <w:szCs w:val="24"/>
        </w:rPr>
        <w:t xml:space="preserve">la Presidenza del Consiglio dei Ministri – Dipartimento della funzione pubblica </w:t>
      </w:r>
      <w:r w:rsidRPr="00997A0A">
        <w:rPr>
          <w:sz w:val="24"/>
          <w:szCs w:val="24"/>
        </w:rPr>
        <w:t xml:space="preserve">ha formulato le proprie considerazioni riguardanti le note prot. n. 19314/2021 e n. 19324/2021 del 18 </w:t>
      </w:r>
      <w:r w:rsidR="005664DC" w:rsidRPr="00997A0A">
        <w:rPr>
          <w:sz w:val="24"/>
          <w:szCs w:val="24"/>
        </w:rPr>
        <w:t xml:space="preserve">febbraio 2021, con le quali </w:t>
      </w:r>
      <w:r w:rsidR="005B4077" w:rsidRPr="00997A0A">
        <w:rPr>
          <w:sz w:val="24"/>
          <w:szCs w:val="24"/>
        </w:rPr>
        <w:t xml:space="preserve">codesto </w:t>
      </w:r>
      <w:r w:rsidRPr="00997A0A">
        <w:rPr>
          <w:sz w:val="24"/>
          <w:szCs w:val="24"/>
        </w:rPr>
        <w:t xml:space="preserve">Dipartimento </w:t>
      </w:r>
      <w:r w:rsidR="00C078F3" w:rsidRPr="00997A0A">
        <w:rPr>
          <w:sz w:val="24"/>
          <w:szCs w:val="24"/>
        </w:rPr>
        <w:t xml:space="preserve">ha comunicato il proprio </w:t>
      </w:r>
      <w:r w:rsidRPr="00997A0A">
        <w:rPr>
          <w:sz w:val="24"/>
          <w:szCs w:val="24"/>
        </w:rPr>
        <w:t>intendimento di procedere all’assunzione</w:t>
      </w:r>
      <w:r w:rsidR="00C078F3" w:rsidRPr="00997A0A">
        <w:rPr>
          <w:sz w:val="24"/>
          <w:szCs w:val="24"/>
        </w:rPr>
        <w:t xml:space="preserve"> a tempo indeterminato nei ruoli </w:t>
      </w:r>
      <w:r w:rsidR="00DD17E4" w:rsidRPr="00997A0A">
        <w:rPr>
          <w:sz w:val="24"/>
          <w:szCs w:val="24"/>
        </w:rPr>
        <w:t xml:space="preserve">del Ministero dell’economia e delle finanze </w:t>
      </w:r>
      <w:r w:rsidRPr="00997A0A">
        <w:rPr>
          <w:sz w:val="24"/>
          <w:szCs w:val="24"/>
        </w:rPr>
        <w:t>di personale dirigenziale e non dirigenziale, all’esito d</w:t>
      </w:r>
      <w:r w:rsidR="00C078F3" w:rsidRPr="00997A0A">
        <w:rPr>
          <w:sz w:val="24"/>
          <w:szCs w:val="24"/>
        </w:rPr>
        <w:t>elle</w:t>
      </w:r>
      <w:r w:rsidRPr="00997A0A">
        <w:rPr>
          <w:sz w:val="24"/>
          <w:szCs w:val="24"/>
        </w:rPr>
        <w:t xml:space="preserve"> procedure di mobilità volontaria</w:t>
      </w:r>
      <w:r w:rsidR="00C078F3" w:rsidRPr="00997A0A">
        <w:rPr>
          <w:sz w:val="24"/>
          <w:szCs w:val="24"/>
        </w:rPr>
        <w:t xml:space="preserve"> avviate ai sensi</w:t>
      </w:r>
      <w:r w:rsidRPr="00997A0A">
        <w:rPr>
          <w:sz w:val="24"/>
          <w:szCs w:val="24"/>
        </w:rPr>
        <w:t xml:space="preserve"> d</w:t>
      </w:r>
      <w:r w:rsidR="00C078F3" w:rsidRPr="00997A0A">
        <w:rPr>
          <w:sz w:val="24"/>
          <w:szCs w:val="24"/>
        </w:rPr>
        <w:t>e</w:t>
      </w:r>
      <w:r w:rsidRPr="00997A0A">
        <w:rPr>
          <w:sz w:val="24"/>
          <w:szCs w:val="24"/>
        </w:rPr>
        <w:t>ll’articolo 30 del decreto legislativo 30 marzo 2001, n. 165</w:t>
      </w:r>
      <w:r w:rsidR="00B96FD9" w:rsidRPr="00997A0A">
        <w:rPr>
          <w:sz w:val="24"/>
          <w:szCs w:val="24"/>
        </w:rPr>
        <w:t xml:space="preserve"> </w:t>
      </w:r>
      <w:r w:rsidR="00C078F3" w:rsidRPr="00997A0A">
        <w:rPr>
          <w:sz w:val="24"/>
          <w:szCs w:val="24"/>
        </w:rPr>
        <w:t>e successive modifiche ed integrazioni</w:t>
      </w:r>
      <w:r w:rsidRPr="00997A0A">
        <w:rPr>
          <w:sz w:val="24"/>
          <w:szCs w:val="24"/>
        </w:rPr>
        <w:t>.</w:t>
      </w:r>
    </w:p>
    <w:p w:rsidR="007719B8" w:rsidRPr="00997A0A" w:rsidRDefault="007719B8" w:rsidP="00FA6675">
      <w:pPr>
        <w:pStyle w:val="Corpotesto"/>
        <w:spacing w:after="0" w:line="360" w:lineRule="auto"/>
        <w:ind w:right="-57" w:firstLine="709"/>
        <w:jc w:val="both"/>
        <w:rPr>
          <w:sz w:val="24"/>
          <w:szCs w:val="24"/>
        </w:rPr>
      </w:pPr>
      <w:r w:rsidRPr="00997A0A">
        <w:rPr>
          <w:sz w:val="24"/>
          <w:szCs w:val="24"/>
        </w:rPr>
        <w:t>Con la predetta nota</w:t>
      </w:r>
      <w:r w:rsidR="00C078F3" w:rsidRPr="00997A0A">
        <w:rPr>
          <w:sz w:val="24"/>
          <w:szCs w:val="24"/>
        </w:rPr>
        <w:t xml:space="preserve"> </w:t>
      </w:r>
      <w:r w:rsidR="00DD17E4" w:rsidRPr="00997A0A">
        <w:rPr>
          <w:sz w:val="24"/>
          <w:szCs w:val="24"/>
        </w:rPr>
        <w:t>n.</w:t>
      </w:r>
      <w:r w:rsidR="00C078F3" w:rsidRPr="00997A0A">
        <w:rPr>
          <w:sz w:val="24"/>
          <w:szCs w:val="24"/>
        </w:rPr>
        <w:t>14366/2021,</w:t>
      </w:r>
      <w:r w:rsidRPr="00997A0A">
        <w:rPr>
          <w:sz w:val="24"/>
          <w:szCs w:val="24"/>
        </w:rPr>
        <w:t xml:space="preserve"> </w:t>
      </w:r>
      <w:r w:rsidR="005B4077" w:rsidRPr="00997A0A">
        <w:rPr>
          <w:sz w:val="24"/>
          <w:szCs w:val="24"/>
        </w:rPr>
        <w:t xml:space="preserve">il citato Dipartimento della funzione pubblica </w:t>
      </w:r>
      <w:r w:rsidRPr="00997A0A">
        <w:rPr>
          <w:sz w:val="24"/>
          <w:szCs w:val="24"/>
        </w:rPr>
        <w:t xml:space="preserve">ha, altresì, richiesto le valutazioni </w:t>
      </w:r>
      <w:r w:rsidR="00C078F3" w:rsidRPr="00997A0A">
        <w:rPr>
          <w:sz w:val="24"/>
          <w:szCs w:val="24"/>
        </w:rPr>
        <w:t xml:space="preserve">di questo Dipartimento </w:t>
      </w:r>
      <w:r w:rsidRPr="00997A0A">
        <w:rPr>
          <w:sz w:val="24"/>
          <w:szCs w:val="24"/>
        </w:rPr>
        <w:t>in ordine alle predette procedure di reclutamento per mobilità volo</w:t>
      </w:r>
      <w:r w:rsidR="005664DC" w:rsidRPr="00997A0A">
        <w:rPr>
          <w:sz w:val="24"/>
          <w:szCs w:val="24"/>
        </w:rPr>
        <w:t>n</w:t>
      </w:r>
      <w:r w:rsidRPr="00997A0A">
        <w:rPr>
          <w:sz w:val="24"/>
          <w:szCs w:val="24"/>
        </w:rPr>
        <w:t>taria, tenuto conto dei corre</w:t>
      </w:r>
      <w:r w:rsidR="005664DC" w:rsidRPr="00997A0A">
        <w:rPr>
          <w:sz w:val="24"/>
          <w:szCs w:val="24"/>
        </w:rPr>
        <w:t>lati</w:t>
      </w:r>
      <w:r w:rsidRPr="00997A0A">
        <w:rPr>
          <w:sz w:val="24"/>
          <w:szCs w:val="24"/>
        </w:rPr>
        <w:t xml:space="preserve"> profili di natura finanziaria che le medesime</w:t>
      </w:r>
      <w:r w:rsidR="00C078F3" w:rsidRPr="00997A0A">
        <w:rPr>
          <w:sz w:val="24"/>
          <w:szCs w:val="24"/>
        </w:rPr>
        <w:t xml:space="preserve"> procedure</w:t>
      </w:r>
      <w:r w:rsidRPr="00997A0A">
        <w:rPr>
          <w:sz w:val="24"/>
          <w:szCs w:val="24"/>
        </w:rPr>
        <w:t xml:space="preserve"> assumono.</w:t>
      </w:r>
    </w:p>
    <w:p w:rsidR="007719B8" w:rsidRPr="00997A0A" w:rsidRDefault="007719B8" w:rsidP="003A6BD1">
      <w:pPr>
        <w:pStyle w:val="Corpotesto"/>
        <w:spacing w:after="0" w:line="360" w:lineRule="auto"/>
        <w:ind w:right="101" w:firstLine="426"/>
        <w:jc w:val="both"/>
        <w:rPr>
          <w:sz w:val="24"/>
          <w:szCs w:val="24"/>
        </w:rPr>
      </w:pPr>
      <w:r w:rsidRPr="00997A0A">
        <w:rPr>
          <w:sz w:val="24"/>
          <w:szCs w:val="24"/>
        </w:rPr>
        <w:t>Al rigua</w:t>
      </w:r>
      <w:r w:rsidR="005664DC" w:rsidRPr="00997A0A">
        <w:rPr>
          <w:sz w:val="24"/>
          <w:szCs w:val="24"/>
        </w:rPr>
        <w:t>rdo</w:t>
      </w:r>
      <w:r w:rsidRPr="00997A0A">
        <w:rPr>
          <w:sz w:val="24"/>
          <w:szCs w:val="24"/>
        </w:rPr>
        <w:t>,</w:t>
      </w:r>
      <w:r w:rsidR="005664DC" w:rsidRPr="00997A0A">
        <w:rPr>
          <w:sz w:val="24"/>
          <w:szCs w:val="24"/>
        </w:rPr>
        <w:t xml:space="preserve"> </w:t>
      </w:r>
      <w:r w:rsidRPr="00997A0A">
        <w:rPr>
          <w:sz w:val="24"/>
          <w:szCs w:val="24"/>
        </w:rPr>
        <w:t>in via preliminare, si fa presente che:</w:t>
      </w:r>
    </w:p>
    <w:p w:rsidR="007719B8" w:rsidRPr="00997A0A" w:rsidRDefault="007719B8" w:rsidP="00FA6675">
      <w:pPr>
        <w:pStyle w:val="Corpotesto"/>
        <w:widowControl w:val="0"/>
        <w:numPr>
          <w:ilvl w:val="0"/>
          <w:numId w:val="8"/>
        </w:numPr>
        <w:overflowPunct/>
        <w:adjustRightInd/>
        <w:spacing w:after="0" w:line="360" w:lineRule="auto"/>
        <w:ind w:left="426" w:right="-57" w:hanging="426"/>
        <w:jc w:val="both"/>
        <w:textAlignment w:val="auto"/>
        <w:rPr>
          <w:sz w:val="24"/>
          <w:szCs w:val="24"/>
        </w:rPr>
      </w:pPr>
      <w:r w:rsidRPr="00997A0A">
        <w:rPr>
          <w:sz w:val="24"/>
          <w:szCs w:val="24"/>
        </w:rPr>
        <w:lastRenderedPageBreak/>
        <w:t xml:space="preserve">la nota n. 19324/2021, riguarda l’acquisizione con procedure di mobilità volontaria di complessive 264 unità di personale non dirigenziale già in </w:t>
      </w:r>
      <w:r w:rsidR="00C078F3" w:rsidRPr="00997A0A">
        <w:rPr>
          <w:sz w:val="24"/>
          <w:szCs w:val="24"/>
        </w:rPr>
        <w:t xml:space="preserve">posizione di </w:t>
      </w:r>
      <w:r w:rsidRPr="00997A0A">
        <w:rPr>
          <w:sz w:val="24"/>
          <w:szCs w:val="24"/>
        </w:rPr>
        <w:t>comando (di cui 130 unità inquadrate nell’Area Terza e 134 unità inquadrate nell’Area Seconda e relative fasce economiche dell’ex Comparto Ministeri), proven</w:t>
      </w:r>
      <w:r w:rsidR="005664DC" w:rsidRPr="00997A0A">
        <w:rPr>
          <w:sz w:val="24"/>
          <w:szCs w:val="24"/>
        </w:rPr>
        <w:t>i</w:t>
      </w:r>
      <w:r w:rsidRPr="00997A0A">
        <w:rPr>
          <w:sz w:val="24"/>
          <w:szCs w:val="24"/>
        </w:rPr>
        <w:t xml:space="preserve">enti da pubbliche amministrazioni di cui all’articolo 1, comma 2, del decreto legislativo 30 marzo 2001, n. 165; </w:t>
      </w:r>
    </w:p>
    <w:p w:rsidR="007719B8" w:rsidRPr="00997A0A" w:rsidRDefault="007719B8" w:rsidP="00FA6675">
      <w:pPr>
        <w:pStyle w:val="Corpotesto"/>
        <w:widowControl w:val="0"/>
        <w:numPr>
          <w:ilvl w:val="0"/>
          <w:numId w:val="8"/>
        </w:numPr>
        <w:overflowPunct/>
        <w:adjustRightInd/>
        <w:spacing w:after="0" w:line="360" w:lineRule="auto"/>
        <w:ind w:left="426" w:right="-57" w:hanging="426"/>
        <w:jc w:val="both"/>
        <w:textAlignment w:val="auto"/>
        <w:rPr>
          <w:sz w:val="24"/>
          <w:szCs w:val="24"/>
        </w:rPr>
      </w:pPr>
      <w:r w:rsidRPr="00997A0A">
        <w:rPr>
          <w:sz w:val="24"/>
          <w:szCs w:val="24"/>
        </w:rPr>
        <w:t xml:space="preserve">la nota n. 19314/2021, riguarda l’acquisizione di complessive 16 unità di personale dirigenziale di seconda fascia, mediante </w:t>
      </w:r>
      <w:r w:rsidR="00C078F3" w:rsidRPr="00997A0A">
        <w:rPr>
          <w:sz w:val="24"/>
          <w:szCs w:val="24"/>
        </w:rPr>
        <w:t xml:space="preserve">lo </w:t>
      </w:r>
      <w:r w:rsidRPr="00997A0A">
        <w:rPr>
          <w:sz w:val="24"/>
          <w:szCs w:val="24"/>
        </w:rPr>
        <w:t>scorrimento degli elenchi degli idonei di una procedura di mobilità volontaria già definita con Decreto del Capo Dipartimento dell’Amm</w:t>
      </w:r>
      <w:r w:rsidR="005664DC" w:rsidRPr="00997A0A">
        <w:rPr>
          <w:sz w:val="24"/>
          <w:szCs w:val="24"/>
        </w:rPr>
        <w:t>i</w:t>
      </w:r>
      <w:r w:rsidRPr="00997A0A">
        <w:rPr>
          <w:sz w:val="24"/>
          <w:szCs w:val="24"/>
        </w:rPr>
        <w:t>nistrazione Generale del Personale e dei Servizi n. 67380 del 25 giugno 2020, per i quali è già stato acquisto il</w:t>
      </w:r>
      <w:r w:rsidR="00C078F3" w:rsidRPr="00997A0A">
        <w:rPr>
          <w:sz w:val="24"/>
          <w:szCs w:val="24"/>
        </w:rPr>
        <w:t xml:space="preserve"> prescritto</w:t>
      </w:r>
      <w:r w:rsidRPr="00997A0A">
        <w:rPr>
          <w:sz w:val="24"/>
          <w:szCs w:val="24"/>
        </w:rPr>
        <w:t xml:space="preserve"> nulla osta</w:t>
      </w:r>
      <w:r w:rsidR="00C078F3" w:rsidRPr="00997A0A">
        <w:rPr>
          <w:sz w:val="24"/>
          <w:szCs w:val="24"/>
        </w:rPr>
        <w:t xml:space="preserve"> da parte</w:t>
      </w:r>
      <w:r w:rsidRPr="00997A0A">
        <w:rPr>
          <w:sz w:val="24"/>
          <w:szCs w:val="24"/>
        </w:rPr>
        <w:t xml:space="preserve"> dell’amministrazione di appartenenza, come di seguito indicat</w:t>
      </w:r>
      <w:r w:rsidR="00C078F3" w:rsidRPr="00997A0A">
        <w:rPr>
          <w:sz w:val="24"/>
          <w:szCs w:val="24"/>
        </w:rPr>
        <w:t>e</w:t>
      </w:r>
      <w:r w:rsidRPr="00997A0A">
        <w:rPr>
          <w:sz w:val="24"/>
          <w:szCs w:val="24"/>
        </w:rPr>
        <w:t>:</w:t>
      </w:r>
    </w:p>
    <w:p w:rsidR="00B151BD" w:rsidRPr="00997A0A" w:rsidRDefault="00B151BD" w:rsidP="00B151BD">
      <w:pPr>
        <w:pStyle w:val="Corpotesto"/>
        <w:widowControl w:val="0"/>
        <w:numPr>
          <w:ilvl w:val="0"/>
          <w:numId w:val="9"/>
        </w:numPr>
        <w:overflowPunct/>
        <w:adjustRightInd/>
        <w:spacing w:after="0" w:line="360" w:lineRule="auto"/>
        <w:ind w:left="0" w:right="102" w:firstLine="0"/>
        <w:jc w:val="both"/>
        <w:textAlignment w:val="auto"/>
        <w:rPr>
          <w:sz w:val="24"/>
          <w:szCs w:val="24"/>
        </w:rPr>
      </w:pPr>
      <w:r w:rsidRPr="00997A0A">
        <w:rPr>
          <w:sz w:val="24"/>
          <w:szCs w:val="24"/>
        </w:rPr>
        <w:t>n. 9 segretari comunali;</w:t>
      </w:r>
    </w:p>
    <w:p w:rsidR="00B151BD" w:rsidRPr="00997A0A" w:rsidRDefault="005664DC" w:rsidP="00B151BD">
      <w:pPr>
        <w:pStyle w:val="Corpotesto"/>
        <w:widowControl w:val="0"/>
        <w:numPr>
          <w:ilvl w:val="0"/>
          <w:numId w:val="9"/>
        </w:numPr>
        <w:overflowPunct/>
        <w:adjustRightInd/>
        <w:spacing w:after="0" w:line="360" w:lineRule="auto"/>
        <w:ind w:left="0" w:right="102" w:firstLine="0"/>
        <w:jc w:val="both"/>
        <w:textAlignment w:val="auto"/>
        <w:rPr>
          <w:sz w:val="24"/>
          <w:szCs w:val="24"/>
        </w:rPr>
      </w:pPr>
      <w:r w:rsidRPr="00997A0A">
        <w:rPr>
          <w:sz w:val="24"/>
          <w:szCs w:val="24"/>
        </w:rPr>
        <w:t>n. 1 dir</w:t>
      </w:r>
      <w:r w:rsidR="00B151BD" w:rsidRPr="00997A0A">
        <w:rPr>
          <w:sz w:val="24"/>
          <w:szCs w:val="24"/>
        </w:rPr>
        <w:t>igente dell’ASL Toscana;</w:t>
      </w:r>
    </w:p>
    <w:p w:rsidR="00B151BD" w:rsidRPr="00997A0A" w:rsidRDefault="00B151BD" w:rsidP="00B151BD">
      <w:pPr>
        <w:pStyle w:val="Corpotesto"/>
        <w:widowControl w:val="0"/>
        <w:numPr>
          <w:ilvl w:val="0"/>
          <w:numId w:val="9"/>
        </w:numPr>
        <w:overflowPunct/>
        <w:adjustRightInd/>
        <w:spacing w:after="0" w:line="360" w:lineRule="auto"/>
        <w:ind w:left="0" w:right="102" w:firstLine="0"/>
        <w:jc w:val="both"/>
        <w:textAlignment w:val="auto"/>
        <w:rPr>
          <w:sz w:val="24"/>
          <w:szCs w:val="24"/>
        </w:rPr>
      </w:pPr>
      <w:r w:rsidRPr="00997A0A">
        <w:rPr>
          <w:sz w:val="24"/>
          <w:szCs w:val="24"/>
        </w:rPr>
        <w:t>n. 1 dirigente INPS;</w:t>
      </w:r>
    </w:p>
    <w:p w:rsidR="00B151BD" w:rsidRPr="00997A0A" w:rsidRDefault="00B151BD" w:rsidP="00B151BD">
      <w:pPr>
        <w:pStyle w:val="Corpotesto"/>
        <w:widowControl w:val="0"/>
        <w:numPr>
          <w:ilvl w:val="0"/>
          <w:numId w:val="9"/>
        </w:numPr>
        <w:overflowPunct/>
        <w:adjustRightInd/>
        <w:spacing w:after="0" w:line="360" w:lineRule="auto"/>
        <w:ind w:left="0" w:right="102" w:firstLine="0"/>
        <w:jc w:val="both"/>
        <w:textAlignment w:val="auto"/>
        <w:rPr>
          <w:sz w:val="24"/>
          <w:szCs w:val="24"/>
        </w:rPr>
      </w:pPr>
      <w:r w:rsidRPr="00997A0A">
        <w:rPr>
          <w:sz w:val="24"/>
          <w:szCs w:val="24"/>
        </w:rPr>
        <w:t>n. 2 dirigenti ISTAT</w:t>
      </w:r>
      <w:r w:rsidR="00930E4F">
        <w:rPr>
          <w:sz w:val="24"/>
          <w:szCs w:val="24"/>
        </w:rPr>
        <w:t>;</w:t>
      </w:r>
    </w:p>
    <w:p w:rsidR="00B151BD" w:rsidRPr="00997A0A" w:rsidRDefault="00B151BD" w:rsidP="00B151BD">
      <w:pPr>
        <w:pStyle w:val="Corpotesto"/>
        <w:widowControl w:val="0"/>
        <w:numPr>
          <w:ilvl w:val="0"/>
          <w:numId w:val="9"/>
        </w:numPr>
        <w:overflowPunct/>
        <w:adjustRightInd/>
        <w:spacing w:after="0" w:line="360" w:lineRule="auto"/>
        <w:ind w:left="0" w:right="102" w:firstLine="0"/>
        <w:jc w:val="both"/>
        <w:textAlignment w:val="auto"/>
        <w:rPr>
          <w:sz w:val="24"/>
          <w:szCs w:val="24"/>
        </w:rPr>
      </w:pPr>
      <w:r w:rsidRPr="00997A0A">
        <w:rPr>
          <w:sz w:val="24"/>
          <w:szCs w:val="24"/>
        </w:rPr>
        <w:t>n. 1 dirigente ULSS Veneto;</w:t>
      </w:r>
    </w:p>
    <w:p w:rsidR="00B151BD" w:rsidRPr="00997A0A" w:rsidRDefault="00B151BD" w:rsidP="00B151BD">
      <w:pPr>
        <w:pStyle w:val="Corpotesto"/>
        <w:widowControl w:val="0"/>
        <w:numPr>
          <w:ilvl w:val="0"/>
          <w:numId w:val="9"/>
        </w:numPr>
        <w:overflowPunct/>
        <w:adjustRightInd/>
        <w:spacing w:after="0" w:line="360" w:lineRule="auto"/>
        <w:ind w:left="0" w:right="102" w:firstLine="0"/>
        <w:jc w:val="both"/>
        <w:textAlignment w:val="auto"/>
        <w:rPr>
          <w:sz w:val="24"/>
          <w:szCs w:val="24"/>
        </w:rPr>
      </w:pPr>
      <w:r w:rsidRPr="00997A0A">
        <w:rPr>
          <w:sz w:val="24"/>
          <w:szCs w:val="24"/>
        </w:rPr>
        <w:t>n. 1 dirigente Giunta Regionale della Calabria;</w:t>
      </w:r>
    </w:p>
    <w:p w:rsidR="00B151BD" w:rsidRPr="00997A0A" w:rsidRDefault="00B151BD" w:rsidP="00B151BD">
      <w:pPr>
        <w:pStyle w:val="Corpotesto"/>
        <w:widowControl w:val="0"/>
        <w:numPr>
          <w:ilvl w:val="0"/>
          <w:numId w:val="9"/>
        </w:numPr>
        <w:overflowPunct/>
        <w:adjustRightInd/>
        <w:spacing w:after="0" w:line="360" w:lineRule="auto"/>
        <w:ind w:left="0" w:right="102" w:firstLine="0"/>
        <w:jc w:val="both"/>
        <w:textAlignment w:val="auto"/>
        <w:rPr>
          <w:sz w:val="24"/>
          <w:szCs w:val="24"/>
        </w:rPr>
      </w:pPr>
      <w:r w:rsidRPr="00997A0A">
        <w:rPr>
          <w:sz w:val="24"/>
          <w:szCs w:val="24"/>
        </w:rPr>
        <w:t>n. 1 dir</w:t>
      </w:r>
      <w:r w:rsidR="005664DC" w:rsidRPr="00997A0A">
        <w:rPr>
          <w:sz w:val="24"/>
          <w:szCs w:val="24"/>
        </w:rPr>
        <w:t>i</w:t>
      </w:r>
      <w:r w:rsidRPr="00997A0A">
        <w:rPr>
          <w:sz w:val="24"/>
          <w:szCs w:val="24"/>
        </w:rPr>
        <w:t>gente CCIAA Chieti-Pescara.</w:t>
      </w:r>
    </w:p>
    <w:p w:rsidR="00B151BD" w:rsidRPr="00997A0A" w:rsidRDefault="00B151BD" w:rsidP="00B151BD">
      <w:pPr>
        <w:pStyle w:val="Corpotesto"/>
        <w:spacing w:after="0" w:line="360" w:lineRule="auto"/>
        <w:ind w:right="101" w:firstLine="709"/>
        <w:jc w:val="both"/>
        <w:rPr>
          <w:sz w:val="24"/>
          <w:szCs w:val="24"/>
        </w:rPr>
      </w:pPr>
      <w:r w:rsidRPr="00997A0A">
        <w:rPr>
          <w:sz w:val="24"/>
          <w:szCs w:val="24"/>
        </w:rPr>
        <w:t xml:space="preserve"> </w:t>
      </w:r>
    </w:p>
    <w:p w:rsidR="00B151BD" w:rsidRPr="00997A0A" w:rsidRDefault="00B151BD" w:rsidP="00FA6675">
      <w:pPr>
        <w:pStyle w:val="Corpotesto"/>
        <w:spacing w:after="0" w:line="360" w:lineRule="auto"/>
        <w:ind w:right="-57" w:firstLine="709"/>
        <w:jc w:val="both"/>
        <w:rPr>
          <w:sz w:val="24"/>
          <w:szCs w:val="24"/>
        </w:rPr>
      </w:pPr>
      <w:r w:rsidRPr="00997A0A">
        <w:rPr>
          <w:sz w:val="24"/>
          <w:szCs w:val="24"/>
        </w:rPr>
        <w:t xml:space="preserve">Tanto premesso, la </w:t>
      </w:r>
      <w:r w:rsidR="00DD17E4" w:rsidRPr="00997A0A">
        <w:rPr>
          <w:sz w:val="24"/>
          <w:szCs w:val="24"/>
        </w:rPr>
        <w:t xml:space="preserve">questione </w:t>
      </w:r>
      <w:r w:rsidR="00C078F3" w:rsidRPr="00997A0A">
        <w:rPr>
          <w:sz w:val="24"/>
          <w:szCs w:val="24"/>
        </w:rPr>
        <w:t xml:space="preserve">in esame </w:t>
      </w:r>
      <w:r w:rsidRPr="00997A0A">
        <w:rPr>
          <w:sz w:val="24"/>
          <w:szCs w:val="24"/>
        </w:rPr>
        <w:t xml:space="preserve">riguarda l’ambito di applicazione dell’articolo 1, comma 47, della legge </w:t>
      </w:r>
      <w:r w:rsidRPr="00997A0A">
        <w:rPr>
          <w:spacing w:val="-3"/>
          <w:sz w:val="24"/>
          <w:szCs w:val="24"/>
        </w:rPr>
        <w:t xml:space="preserve">n. </w:t>
      </w:r>
      <w:r w:rsidRPr="00997A0A">
        <w:rPr>
          <w:sz w:val="24"/>
          <w:szCs w:val="24"/>
        </w:rPr>
        <w:t xml:space="preserve">311/2004 e dell’articolo 14, comma 7, del decreto legge 6 luglio 2012, n. 95, convertito, con modificazioni, dalla legge 7 agosto 2012, n. 135, recanti la disciplina </w:t>
      </w:r>
      <w:r w:rsidR="00C078F3" w:rsidRPr="00997A0A">
        <w:rPr>
          <w:sz w:val="24"/>
          <w:szCs w:val="24"/>
        </w:rPr>
        <w:t xml:space="preserve">della mobilità c.d. neutrale </w:t>
      </w:r>
      <w:r w:rsidR="00FC4F9C" w:rsidRPr="00997A0A">
        <w:rPr>
          <w:sz w:val="24"/>
          <w:szCs w:val="24"/>
        </w:rPr>
        <w:t xml:space="preserve">per la </w:t>
      </w:r>
      <w:r w:rsidRPr="00997A0A">
        <w:rPr>
          <w:sz w:val="24"/>
          <w:szCs w:val="24"/>
        </w:rPr>
        <w:t>finanza pubblica, anche intercompartimentale, tra pubbliche amministrazioni</w:t>
      </w:r>
      <w:r w:rsidR="00FC4F9C" w:rsidRPr="00997A0A">
        <w:rPr>
          <w:sz w:val="24"/>
          <w:szCs w:val="24"/>
        </w:rPr>
        <w:t xml:space="preserve"> soggette a “regimi vincolistici in materia assunzionale”</w:t>
      </w:r>
      <w:r w:rsidRPr="00997A0A">
        <w:rPr>
          <w:sz w:val="24"/>
          <w:szCs w:val="24"/>
        </w:rPr>
        <w:t>, tenuto conto dell’evoluzione normativa in materia di facoltà assunzionali nel frattempo intervenuta.</w:t>
      </w:r>
    </w:p>
    <w:p w:rsidR="00EB4180" w:rsidRPr="00997A0A" w:rsidRDefault="00FC4F9C" w:rsidP="00EB4180">
      <w:pPr>
        <w:pStyle w:val="Corpotesto"/>
        <w:spacing w:after="0" w:line="360" w:lineRule="auto"/>
        <w:ind w:right="-57" w:firstLine="709"/>
        <w:jc w:val="both"/>
        <w:rPr>
          <w:sz w:val="24"/>
          <w:szCs w:val="24"/>
        </w:rPr>
      </w:pPr>
      <w:r w:rsidRPr="00997A0A">
        <w:rPr>
          <w:spacing w:val="-3"/>
          <w:sz w:val="24"/>
          <w:szCs w:val="24"/>
        </w:rPr>
        <w:t xml:space="preserve">In particolare, </w:t>
      </w:r>
      <w:r w:rsidR="00EB4180" w:rsidRPr="00997A0A">
        <w:rPr>
          <w:sz w:val="24"/>
          <w:szCs w:val="24"/>
        </w:rPr>
        <w:t xml:space="preserve">l’articolo 1, comma 47, della legge </w:t>
      </w:r>
      <w:r w:rsidR="00EB4180" w:rsidRPr="00997A0A">
        <w:rPr>
          <w:spacing w:val="-3"/>
          <w:sz w:val="24"/>
          <w:szCs w:val="24"/>
        </w:rPr>
        <w:t xml:space="preserve">n. </w:t>
      </w:r>
      <w:r w:rsidR="00EB4180" w:rsidRPr="00997A0A">
        <w:rPr>
          <w:sz w:val="24"/>
          <w:szCs w:val="24"/>
        </w:rPr>
        <w:t>311/2004</w:t>
      </w:r>
      <w:r w:rsidR="001845B6" w:rsidRPr="00997A0A">
        <w:rPr>
          <w:sz w:val="24"/>
          <w:szCs w:val="24"/>
        </w:rPr>
        <w:t>,</w:t>
      </w:r>
      <w:r w:rsidR="00EB4180" w:rsidRPr="00997A0A">
        <w:rPr>
          <w:sz w:val="24"/>
          <w:szCs w:val="24"/>
        </w:rPr>
        <w:t xml:space="preserve"> </w:t>
      </w:r>
      <w:r w:rsidR="00EB4180" w:rsidRPr="00997A0A">
        <w:rPr>
          <w:spacing w:val="-3"/>
          <w:sz w:val="24"/>
          <w:szCs w:val="24"/>
        </w:rPr>
        <w:t xml:space="preserve">ha </w:t>
      </w:r>
      <w:r w:rsidR="00EB4180" w:rsidRPr="00997A0A">
        <w:rPr>
          <w:sz w:val="24"/>
          <w:szCs w:val="24"/>
        </w:rPr>
        <w:t>previsto che</w:t>
      </w:r>
      <w:r w:rsidRPr="00997A0A">
        <w:rPr>
          <w:sz w:val="24"/>
          <w:szCs w:val="24"/>
        </w:rPr>
        <w:t>,</w:t>
      </w:r>
      <w:r w:rsidR="00EB4180" w:rsidRPr="00997A0A">
        <w:rPr>
          <w:sz w:val="24"/>
          <w:szCs w:val="24"/>
        </w:rPr>
        <w:t xml:space="preserve"> </w:t>
      </w:r>
      <w:r w:rsidR="00EB4180" w:rsidRPr="00997A0A">
        <w:rPr>
          <w:spacing w:val="-3"/>
          <w:sz w:val="24"/>
          <w:szCs w:val="24"/>
        </w:rPr>
        <w:t xml:space="preserve">in </w:t>
      </w:r>
      <w:r w:rsidR="00F17664" w:rsidRPr="00997A0A">
        <w:rPr>
          <w:sz w:val="24"/>
          <w:szCs w:val="24"/>
        </w:rPr>
        <w:t xml:space="preserve">vigenza di disposizioni </w:t>
      </w:r>
      <w:r w:rsidR="00EB4180" w:rsidRPr="00997A0A">
        <w:rPr>
          <w:sz w:val="24"/>
          <w:szCs w:val="24"/>
        </w:rPr>
        <w:t xml:space="preserve">che  stabiliscono  un  regime  </w:t>
      </w:r>
      <w:r w:rsidR="00EB4180" w:rsidRPr="00997A0A">
        <w:rPr>
          <w:spacing w:val="4"/>
          <w:sz w:val="24"/>
          <w:szCs w:val="24"/>
        </w:rPr>
        <w:t xml:space="preserve">di  </w:t>
      </w:r>
      <w:r w:rsidR="00EB4180" w:rsidRPr="00997A0A">
        <w:rPr>
          <w:sz w:val="24"/>
          <w:szCs w:val="24"/>
        </w:rPr>
        <w:t>limitazione delle assunzioni di personale a tempo indeterminato, sono consentiti trasferimenti per mobilità, anche intercompartimentale, tra amministrazioni sottoposte al regime di limitazione</w:t>
      </w:r>
      <w:r w:rsidRPr="00997A0A">
        <w:rPr>
          <w:sz w:val="24"/>
          <w:szCs w:val="24"/>
        </w:rPr>
        <w:t xml:space="preserve"> delle assunzioni</w:t>
      </w:r>
      <w:r w:rsidR="00EB4180" w:rsidRPr="00997A0A">
        <w:rPr>
          <w:sz w:val="24"/>
          <w:szCs w:val="24"/>
        </w:rPr>
        <w:t xml:space="preserve">, nel rispetto delle disposizioni sulle dotazioni organiche e, per gli enti locali, purché abbiano rispettato </w:t>
      </w:r>
      <w:r w:rsidR="00EB4180" w:rsidRPr="00997A0A">
        <w:rPr>
          <w:spacing w:val="-3"/>
          <w:sz w:val="24"/>
          <w:szCs w:val="24"/>
        </w:rPr>
        <w:t xml:space="preserve">il </w:t>
      </w:r>
      <w:r w:rsidR="00EB4180" w:rsidRPr="00997A0A">
        <w:rPr>
          <w:sz w:val="24"/>
          <w:szCs w:val="24"/>
        </w:rPr>
        <w:t>patto di stabilità interno per l'anno</w:t>
      </w:r>
      <w:r w:rsidR="00EB4180" w:rsidRPr="00997A0A">
        <w:rPr>
          <w:spacing w:val="22"/>
          <w:sz w:val="24"/>
          <w:szCs w:val="24"/>
        </w:rPr>
        <w:t xml:space="preserve"> </w:t>
      </w:r>
      <w:r w:rsidR="00EB4180" w:rsidRPr="00997A0A">
        <w:rPr>
          <w:sz w:val="24"/>
          <w:szCs w:val="24"/>
        </w:rPr>
        <w:t>precedente.</w:t>
      </w:r>
    </w:p>
    <w:p w:rsidR="00EB4180" w:rsidRPr="00997A0A" w:rsidRDefault="00EB4180" w:rsidP="00EB4180">
      <w:pPr>
        <w:pStyle w:val="Corpotesto"/>
        <w:spacing w:after="0" w:line="360" w:lineRule="auto"/>
        <w:jc w:val="both"/>
        <w:rPr>
          <w:sz w:val="24"/>
          <w:szCs w:val="24"/>
        </w:rPr>
      </w:pPr>
      <w:r w:rsidRPr="00997A0A">
        <w:rPr>
          <w:sz w:val="24"/>
          <w:szCs w:val="24"/>
        </w:rPr>
        <w:tab/>
        <w:t>La finalità della norma</w:t>
      </w:r>
      <w:r w:rsidR="00FC4F9C" w:rsidRPr="00997A0A">
        <w:rPr>
          <w:sz w:val="24"/>
          <w:szCs w:val="24"/>
        </w:rPr>
        <w:t xml:space="preserve"> è</w:t>
      </w:r>
      <w:r w:rsidRPr="00997A0A">
        <w:rPr>
          <w:sz w:val="24"/>
          <w:szCs w:val="24"/>
        </w:rPr>
        <w:t xml:space="preserve"> quella di prevedere la possibilità che risorse umane già presenti</w:t>
      </w:r>
      <w:r w:rsidR="00FC4F9C" w:rsidRPr="00997A0A">
        <w:rPr>
          <w:sz w:val="24"/>
          <w:szCs w:val="24"/>
        </w:rPr>
        <w:t xml:space="preserve"> nei ruoli</w:t>
      </w:r>
      <w:r w:rsidRPr="00997A0A">
        <w:rPr>
          <w:sz w:val="24"/>
          <w:szCs w:val="24"/>
        </w:rPr>
        <w:t xml:space="preserve"> </w:t>
      </w:r>
      <w:r w:rsidR="00FC4F9C" w:rsidRPr="00997A0A">
        <w:rPr>
          <w:sz w:val="24"/>
          <w:szCs w:val="24"/>
        </w:rPr>
        <w:t>d</w:t>
      </w:r>
      <w:r w:rsidRPr="00997A0A">
        <w:rPr>
          <w:sz w:val="24"/>
          <w:szCs w:val="24"/>
        </w:rPr>
        <w:t>ella pubblica amministrazione</w:t>
      </w:r>
      <w:r w:rsidR="00FC4F9C" w:rsidRPr="00997A0A">
        <w:rPr>
          <w:sz w:val="24"/>
          <w:szCs w:val="24"/>
        </w:rPr>
        <w:t xml:space="preserve"> possano</w:t>
      </w:r>
      <w:r w:rsidRPr="00997A0A">
        <w:rPr>
          <w:sz w:val="24"/>
          <w:szCs w:val="24"/>
        </w:rPr>
        <w:t xml:space="preserve"> essere ricollocate</w:t>
      </w:r>
      <w:r w:rsidR="00570590" w:rsidRPr="00997A0A">
        <w:rPr>
          <w:sz w:val="24"/>
          <w:szCs w:val="24"/>
        </w:rPr>
        <w:t xml:space="preserve">, </w:t>
      </w:r>
      <w:r w:rsidRPr="00997A0A">
        <w:rPr>
          <w:sz w:val="24"/>
          <w:szCs w:val="24"/>
        </w:rPr>
        <w:t>nell’ambito della stessa</w:t>
      </w:r>
      <w:r w:rsidR="00FC4F9C" w:rsidRPr="00997A0A">
        <w:rPr>
          <w:sz w:val="24"/>
          <w:szCs w:val="24"/>
        </w:rPr>
        <w:t xml:space="preserve"> (in enti diversi rispetto a quello titolare del rapporto di lavoro)</w:t>
      </w:r>
      <w:r w:rsidRPr="00997A0A">
        <w:rPr>
          <w:sz w:val="24"/>
          <w:szCs w:val="24"/>
        </w:rPr>
        <w:t xml:space="preserve">, in un’ottica di migliore efficienza, </w:t>
      </w:r>
      <w:r w:rsidR="00FC4F9C" w:rsidRPr="00997A0A">
        <w:rPr>
          <w:sz w:val="24"/>
          <w:szCs w:val="24"/>
        </w:rPr>
        <w:t xml:space="preserve">nel </w:t>
      </w:r>
      <w:r w:rsidR="00FC4F9C" w:rsidRPr="00997A0A">
        <w:rPr>
          <w:sz w:val="24"/>
          <w:szCs w:val="24"/>
        </w:rPr>
        <w:lastRenderedPageBreak/>
        <w:t xml:space="preserve">presupposto </w:t>
      </w:r>
      <w:r w:rsidRPr="00997A0A">
        <w:rPr>
          <w:sz w:val="24"/>
          <w:szCs w:val="24"/>
        </w:rPr>
        <w:t>che dal punto di vista finanziario l’operazione assum</w:t>
      </w:r>
      <w:r w:rsidR="00FC4F9C" w:rsidRPr="00997A0A">
        <w:rPr>
          <w:sz w:val="24"/>
          <w:szCs w:val="24"/>
        </w:rPr>
        <w:t>e</w:t>
      </w:r>
      <w:r w:rsidRPr="00997A0A">
        <w:rPr>
          <w:sz w:val="24"/>
          <w:szCs w:val="24"/>
        </w:rPr>
        <w:t xml:space="preserve"> carattere di neutralità</w:t>
      </w:r>
      <w:r w:rsidR="00FC4F9C" w:rsidRPr="00997A0A">
        <w:rPr>
          <w:sz w:val="24"/>
          <w:szCs w:val="24"/>
        </w:rPr>
        <w:t>,</w:t>
      </w:r>
      <w:r w:rsidRPr="00997A0A">
        <w:rPr>
          <w:sz w:val="24"/>
          <w:szCs w:val="24"/>
        </w:rPr>
        <w:t xml:space="preserve"> trattandosi di dipendenti</w:t>
      </w:r>
      <w:r w:rsidR="001C7CA8" w:rsidRPr="00997A0A">
        <w:rPr>
          <w:sz w:val="24"/>
          <w:szCs w:val="24"/>
        </w:rPr>
        <w:t xml:space="preserve"> i cui oneri </w:t>
      </w:r>
      <w:r w:rsidRPr="00997A0A">
        <w:rPr>
          <w:sz w:val="24"/>
          <w:szCs w:val="24"/>
        </w:rPr>
        <w:t>già incidono sui saldi di finanza pubblica.</w:t>
      </w:r>
    </w:p>
    <w:p w:rsidR="00EB4180" w:rsidRPr="00997A0A" w:rsidRDefault="00FC4F9C" w:rsidP="00EB4180">
      <w:pPr>
        <w:spacing w:line="360" w:lineRule="auto"/>
        <w:ind w:right="-57" w:firstLine="709"/>
        <w:jc w:val="both"/>
        <w:rPr>
          <w:sz w:val="24"/>
          <w:szCs w:val="24"/>
        </w:rPr>
      </w:pPr>
      <w:r w:rsidRPr="00997A0A">
        <w:rPr>
          <w:sz w:val="24"/>
          <w:szCs w:val="24"/>
        </w:rPr>
        <w:t xml:space="preserve">Per la medesima finalità, </w:t>
      </w:r>
      <w:r w:rsidR="00DD17E4" w:rsidRPr="00997A0A">
        <w:rPr>
          <w:sz w:val="24"/>
          <w:szCs w:val="24"/>
        </w:rPr>
        <w:t xml:space="preserve">il legislatore </w:t>
      </w:r>
      <w:r w:rsidR="00EB4180" w:rsidRPr="00997A0A">
        <w:rPr>
          <w:sz w:val="24"/>
          <w:szCs w:val="24"/>
        </w:rPr>
        <w:t xml:space="preserve">è </w:t>
      </w:r>
      <w:r w:rsidRPr="00997A0A">
        <w:rPr>
          <w:sz w:val="24"/>
          <w:szCs w:val="24"/>
        </w:rPr>
        <w:t xml:space="preserve">nuovamente </w:t>
      </w:r>
      <w:r w:rsidR="00EB4180" w:rsidRPr="00997A0A">
        <w:rPr>
          <w:sz w:val="24"/>
          <w:szCs w:val="24"/>
        </w:rPr>
        <w:t>intervenuto con l’articolo 14, comma 7, del decreto legge n. 95</w:t>
      </w:r>
      <w:r w:rsidR="001845B6" w:rsidRPr="00997A0A">
        <w:rPr>
          <w:sz w:val="24"/>
          <w:szCs w:val="24"/>
        </w:rPr>
        <w:t xml:space="preserve"> del </w:t>
      </w:r>
      <w:r w:rsidR="00EB4180" w:rsidRPr="00997A0A">
        <w:rPr>
          <w:sz w:val="24"/>
          <w:szCs w:val="24"/>
        </w:rPr>
        <w:t xml:space="preserve">2012, </w:t>
      </w:r>
      <w:r w:rsidR="00DD17E4" w:rsidRPr="00997A0A">
        <w:rPr>
          <w:sz w:val="24"/>
          <w:szCs w:val="24"/>
        </w:rPr>
        <w:t xml:space="preserve">che </w:t>
      </w:r>
      <w:r w:rsidR="00EB4180" w:rsidRPr="00997A0A">
        <w:rPr>
          <w:sz w:val="24"/>
          <w:szCs w:val="24"/>
        </w:rPr>
        <w:t>ha disposto che “</w:t>
      </w:r>
      <w:r w:rsidR="00EB4180" w:rsidRPr="00997A0A">
        <w:rPr>
          <w:i/>
          <w:sz w:val="24"/>
          <w:szCs w:val="24"/>
        </w:rPr>
        <w:t>Le cessazioni per processi di mobilità…........non possono essere calcolate come risparmio utile per definire l’ammontare delle disponibilità finanziarie da destinare alle assunzioni o il numero delle unità sostituibili in relazione alle limitazioni del turn over</w:t>
      </w:r>
      <w:r w:rsidR="00EB4180" w:rsidRPr="00997A0A">
        <w:rPr>
          <w:sz w:val="24"/>
          <w:szCs w:val="24"/>
        </w:rPr>
        <w:t>”.</w:t>
      </w:r>
    </w:p>
    <w:p w:rsidR="00B151BD" w:rsidRPr="00997A0A" w:rsidRDefault="00EB4180" w:rsidP="00FA6675">
      <w:pPr>
        <w:pStyle w:val="Corpotesto"/>
        <w:spacing w:after="0" w:line="360" w:lineRule="auto"/>
        <w:ind w:right="-57" w:firstLine="709"/>
        <w:jc w:val="both"/>
        <w:rPr>
          <w:sz w:val="24"/>
          <w:szCs w:val="24"/>
        </w:rPr>
      </w:pPr>
      <w:r w:rsidRPr="00997A0A">
        <w:rPr>
          <w:sz w:val="24"/>
          <w:szCs w:val="24"/>
        </w:rPr>
        <w:t>Ciò posto,</w:t>
      </w:r>
      <w:r w:rsidR="00B151BD" w:rsidRPr="00997A0A">
        <w:rPr>
          <w:sz w:val="24"/>
          <w:szCs w:val="24"/>
        </w:rPr>
        <w:t xml:space="preserve"> </w:t>
      </w:r>
      <w:r w:rsidR="00A334E8" w:rsidRPr="00997A0A">
        <w:rPr>
          <w:sz w:val="24"/>
          <w:szCs w:val="24"/>
        </w:rPr>
        <w:t xml:space="preserve">nel far presente che </w:t>
      </w:r>
      <w:r w:rsidR="00554FE7" w:rsidRPr="00997A0A">
        <w:rPr>
          <w:sz w:val="24"/>
          <w:szCs w:val="24"/>
        </w:rPr>
        <w:t xml:space="preserve">si condividono </w:t>
      </w:r>
      <w:r w:rsidR="00A334E8" w:rsidRPr="00997A0A">
        <w:rPr>
          <w:sz w:val="24"/>
          <w:szCs w:val="24"/>
        </w:rPr>
        <w:t xml:space="preserve">le considerazioni formulate </w:t>
      </w:r>
      <w:r w:rsidR="002855A9" w:rsidRPr="00997A0A">
        <w:rPr>
          <w:sz w:val="24"/>
          <w:szCs w:val="24"/>
        </w:rPr>
        <w:t xml:space="preserve">dal </w:t>
      </w:r>
      <w:r w:rsidR="00A334E8" w:rsidRPr="00997A0A">
        <w:rPr>
          <w:sz w:val="24"/>
          <w:szCs w:val="24"/>
        </w:rPr>
        <w:t xml:space="preserve">Dipartimento </w:t>
      </w:r>
      <w:r w:rsidR="002855A9" w:rsidRPr="00997A0A">
        <w:rPr>
          <w:sz w:val="24"/>
          <w:szCs w:val="24"/>
        </w:rPr>
        <w:t>della funz</w:t>
      </w:r>
      <w:r w:rsidR="00570590" w:rsidRPr="00997A0A">
        <w:rPr>
          <w:sz w:val="24"/>
          <w:szCs w:val="24"/>
        </w:rPr>
        <w:t>i</w:t>
      </w:r>
      <w:r w:rsidR="002855A9" w:rsidRPr="00997A0A">
        <w:rPr>
          <w:sz w:val="24"/>
          <w:szCs w:val="24"/>
        </w:rPr>
        <w:t xml:space="preserve">one pubblica </w:t>
      </w:r>
      <w:r w:rsidR="00A334E8" w:rsidRPr="00997A0A">
        <w:rPr>
          <w:sz w:val="24"/>
          <w:szCs w:val="24"/>
        </w:rPr>
        <w:t xml:space="preserve">con la nota in premessa indicata, si </w:t>
      </w:r>
      <w:r w:rsidR="00B151BD" w:rsidRPr="00997A0A">
        <w:rPr>
          <w:sz w:val="24"/>
          <w:szCs w:val="24"/>
        </w:rPr>
        <w:t>richiama</w:t>
      </w:r>
      <w:r w:rsidR="00A334E8" w:rsidRPr="00997A0A">
        <w:rPr>
          <w:sz w:val="24"/>
          <w:szCs w:val="24"/>
        </w:rPr>
        <w:t>no</w:t>
      </w:r>
      <w:r w:rsidR="00B151BD" w:rsidRPr="00997A0A">
        <w:rPr>
          <w:sz w:val="24"/>
          <w:szCs w:val="24"/>
        </w:rPr>
        <w:t xml:space="preserve"> anche i contenuti della nota di questo </w:t>
      </w:r>
      <w:r w:rsidR="00570590" w:rsidRPr="00997A0A">
        <w:rPr>
          <w:sz w:val="24"/>
          <w:szCs w:val="24"/>
        </w:rPr>
        <w:t xml:space="preserve">Dipartimento </w:t>
      </w:r>
      <w:r w:rsidR="00B151BD" w:rsidRPr="00997A0A">
        <w:rPr>
          <w:sz w:val="24"/>
          <w:szCs w:val="24"/>
        </w:rPr>
        <w:t>n. 238243 del 16 dicembre 2020, recante specifici chiarimenti in ordine ai riflessi in termini di neutralità finanziaria delle procedure di mobilità finalizzate all’acquisizione di personale in servizio presso le regioni a statuto ordinario, le province e le città metropolitane, ed i comuni, da parte di pubbliche amm</w:t>
      </w:r>
      <w:r w:rsidR="00A334E8" w:rsidRPr="00997A0A">
        <w:rPr>
          <w:sz w:val="24"/>
          <w:szCs w:val="24"/>
        </w:rPr>
        <w:t>inistrazioni di altri comparti.</w:t>
      </w:r>
    </w:p>
    <w:p w:rsidR="00813E35" w:rsidRPr="00997A0A" w:rsidRDefault="00A334E8" w:rsidP="00FA6675">
      <w:pPr>
        <w:pStyle w:val="Corpotesto"/>
        <w:spacing w:after="0" w:line="360" w:lineRule="auto"/>
        <w:ind w:right="-57" w:firstLine="709"/>
        <w:jc w:val="both"/>
        <w:rPr>
          <w:sz w:val="24"/>
          <w:szCs w:val="24"/>
        </w:rPr>
      </w:pPr>
      <w:r w:rsidRPr="00997A0A">
        <w:rPr>
          <w:sz w:val="24"/>
          <w:szCs w:val="24"/>
        </w:rPr>
        <w:t>Sul punto</w:t>
      </w:r>
      <w:r w:rsidR="00813E35" w:rsidRPr="00997A0A">
        <w:rPr>
          <w:sz w:val="24"/>
          <w:szCs w:val="24"/>
        </w:rPr>
        <w:t xml:space="preserve">, appare altresì opportuno fornire le seguenti </w:t>
      </w:r>
      <w:r w:rsidR="009E0EA8" w:rsidRPr="00997A0A">
        <w:rPr>
          <w:sz w:val="24"/>
          <w:szCs w:val="24"/>
        </w:rPr>
        <w:t xml:space="preserve">valutazioni, </w:t>
      </w:r>
      <w:r w:rsidR="00813E35" w:rsidRPr="00997A0A">
        <w:rPr>
          <w:sz w:val="24"/>
          <w:szCs w:val="24"/>
        </w:rPr>
        <w:t>di carattere generale</w:t>
      </w:r>
      <w:r w:rsidR="009E0EA8" w:rsidRPr="00997A0A">
        <w:rPr>
          <w:sz w:val="24"/>
          <w:szCs w:val="24"/>
        </w:rPr>
        <w:t>,</w:t>
      </w:r>
      <w:r w:rsidR="00813E35" w:rsidRPr="00997A0A">
        <w:rPr>
          <w:sz w:val="24"/>
          <w:szCs w:val="24"/>
        </w:rPr>
        <w:t xml:space="preserve"> in materia di reclutamento di personale mediante procedure di mobilità</w:t>
      </w:r>
      <w:r w:rsidR="0075009B" w:rsidRPr="00997A0A">
        <w:rPr>
          <w:sz w:val="24"/>
          <w:szCs w:val="24"/>
        </w:rPr>
        <w:t xml:space="preserve"> da parte delle amministrazioni d</w:t>
      </w:r>
      <w:r w:rsidR="00F038AA" w:rsidRPr="00997A0A">
        <w:rPr>
          <w:sz w:val="24"/>
          <w:szCs w:val="24"/>
        </w:rPr>
        <w:t>ello</w:t>
      </w:r>
      <w:r w:rsidR="0075009B" w:rsidRPr="00997A0A">
        <w:rPr>
          <w:sz w:val="24"/>
          <w:szCs w:val="24"/>
        </w:rPr>
        <w:t xml:space="preserve"> Stato</w:t>
      </w:r>
      <w:r w:rsidR="00813E35" w:rsidRPr="00997A0A">
        <w:rPr>
          <w:sz w:val="24"/>
          <w:szCs w:val="24"/>
        </w:rPr>
        <w:t xml:space="preserve">, atteso che i regimi che disciplinano le facoltà assunzionali di </w:t>
      </w:r>
      <w:r w:rsidR="0075009B" w:rsidRPr="00997A0A">
        <w:rPr>
          <w:sz w:val="24"/>
          <w:szCs w:val="24"/>
        </w:rPr>
        <w:t xml:space="preserve">altri </w:t>
      </w:r>
      <w:r w:rsidR="00813E35" w:rsidRPr="00997A0A">
        <w:rPr>
          <w:sz w:val="24"/>
          <w:szCs w:val="24"/>
        </w:rPr>
        <w:t xml:space="preserve">comparti, come </w:t>
      </w:r>
      <w:r w:rsidR="002855A9" w:rsidRPr="00997A0A">
        <w:rPr>
          <w:sz w:val="24"/>
          <w:szCs w:val="24"/>
        </w:rPr>
        <w:t xml:space="preserve">successivamente </w:t>
      </w:r>
      <w:r w:rsidR="00FA6675" w:rsidRPr="00997A0A">
        <w:rPr>
          <w:sz w:val="24"/>
          <w:szCs w:val="24"/>
        </w:rPr>
        <w:t>specificati</w:t>
      </w:r>
      <w:r w:rsidR="00813E35" w:rsidRPr="00997A0A">
        <w:rPr>
          <w:sz w:val="24"/>
          <w:szCs w:val="24"/>
        </w:rPr>
        <w:t xml:space="preserve">, sono stati oggetto </w:t>
      </w:r>
      <w:r w:rsidR="005664DC" w:rsidRPr="00997A0A">
        <w:rPr>
          <w:sz w:val="24"/>
          <w:szCs w:val="24"/>
        </w:rPr>
        <w:t>di significativi interventi norm</w:t>
      </w:r>
      <w:r w:rsidR="00813E35" w:rsidRPr="00997A0A">
        <w:rPr>
          <w:sz w:val="24"/>
          <w:szCs w:val="24"/>
        </w:rPr>
        <w:t>ativi che hanno svincolato tali settori dall</w:t>
      </w:r>
      <w:r w:rsidR="0075009B" w:rsidRPr="00997A0A">
        <w:rPr>
          <w:sz w:val="24"/>
          <w:szCs w:val="24"/>
        </w:rPr>
        <w:t>e</w:t>
      </w:r>
      <w:r w:rsidR="00813E35" w:rsidRPr="00997A0A">
        <w:rPr>
          <w:sz w:val="24"/>
          <w:szCs w:val="24"/>
        </w:rPr>
        <w:t xml:space="preserve"> previgent</w:t>
      </w:r>
      <w:r w:rsidR="0075009B" w:rsidRPr="00997A0A">
        <w:rPr>
          <w:sz w:val="24"/>
          <w:szCs w:val="24"/>
        </w:rPr>
        <w:t>i</w:t>
      </w:r>
      <w:r w:rsidR="00813E35" w:rsidRPr="00997A0A">
        <w:rPr>
          <w:sz w:val="24"/>
          <w:szCs w:val="24"/>
        </w:rPr>
        <w:t xml:space="preserve"> regol</w:t>
      </w:r>
      <w:r w:rsidR="0075009B" w:rsidRPr="00997A0A">
        <w:rPr>
          <w:sz w:val="24"/>
          <w:szCs w:val="24"/>
        </w:rPr>
        <w:t xml:space="preserve">e </w:t>
      </w:r>
      <w:r w:rsidR="00813E35" w:rsidRPr="00997A0A">
        <w:rPr>
          <w:sz w:val="24"/>
          <w:szCs w:val="24"/>
        </w:rPr>
        <w:t>basat</w:t>
      </w:r>
      <w:r w:rsidR="0075009B" w:rsidRPr="00997A0A">
        <w:rPr>
          <w:sz w:val="24"/>
          <w:szCs w:val="24"/>
        </w:rPr>
        <w:t>e</w:t>
      </w:r>
      <w:r w:rsidR="00813E35" w:rsidRPr="00997A0A">
        <w:rPr>
          <w:sz w:val="24"/>
          <w:szCs w:val="24"/>
        </w:rPr>
        <w:t xml:space="preserve"> sul </w:t>
      </w:r>
      <w:r w:rsidR="00813E35" w:rsidRPr="00997A0A">
        <w:rPr>
          <w:i/>
          <w:sz w:val="24"/>
          <w:szCs w:val="24"/>
        </w:rPr>
        <w:t>turn over,</w:t>
      </w:r>
      <w:r w:rsidR="00813E35" w:rsidRPr="00997A0A">
        <w:rPr>
          <w:sz w:val="24"/>
          <w:szCs w:val="24"/>
        </w:rPr>
        <w:t xml:space="preserve"> collocandoli al di fuori d</w:t>
      </w:r>
      <w:r w:rsidR="00A96E1D" w:rsidRPr="00997A0A">
        <w:rPr>
          <w:sz w:val="24"/>
          <w:szCs w:val="24"/>
        </w:rPr>
        <w:t>e</w:t>
      </w:r>
      <w:r w:rsidR="00813E35" w:rsidRPr="00997A0A">
        <w:rPr>
          <w:sz w:val="24"/>
          <w:szCs w:val="24"/>
        </w:rPr>
        <w:t xml:space="preserve">i regimi di limitazione delle assunzioni ancorati a criteri </w:t>
      </w:r>
      <w:r w:rsidR="00FA6675" w:rsidRPr="00997A0A">
        <w:rPr>
          <w:sz w:val="24"/>
          <w:szCs w:val="24"/>
        </w:rPr>
        <w:t xml:space="preserve">e valori percentuali </w:t>
      </w:r>
      <w:r w:rsidR="00813E35" w:rsidRPr="00997A0A">
        <w:rPr>
          <w:sz w:val="24"/>
          <w:szCs w:val="24"/>
        </w:rPr>
        <w:t xml:space="preserve">predefiniti </w:t>
      </w:r>
      <w:r w:rsidR="00813E35" w:rsidRPr="00997A0A">
        <w:rPr>
          <w:i/>
          <w:sz w:val="24"/>
          <w:szCs w:val="24"/>
        </w:rPr>
        <w:t>ex lege</w:t>
      </w:r>
      <w:r w:rsidR="00813E35" w:rsidRPr="00997A0A">
        <w:rPr>
          <w:sz w:val="24"/>
          <w:szCs w:val="24"/>
        </w:rPr>
        <w:t>, con conseguenti effetti di natura onerosa per il personale proveniente da mobilità intercompartimentale ed i cui oneri</w:t>
      </w:r>
      <w:r w:rsidR="00973539" w:rsidRPr="00997A0A">
        <w:rPr>
          <w:sz w:val="24"/>
          <w:szCs w:val="24"/>
        </w:rPr>
        <w:t>, in base ad una logica compensativa,</w:t>
      </w:r>
      <w:r w:rsidR="00813E35" w:rsidRPr="00997A0A">
        <w:rPr>
          <w:sz w:val="24"/>
          <w:szCs w:val="24"/>
        </w:rPr>
        <w:t xml:space="preserve"> trova</w:t>
      </w:r>
      <w:r w:rsidR="00DD17E4" w:rsidRPr="00997A0A">
        <w:rPr>
          <w:sz w:val="24"/>
          <w:szCs w:val="24"/>
        </w:rPr>
        <w:t>no</w:t>
      </w:r>
      <w:r w:rsidR="00813E35" w:rsidRPr="00997A0A">
        <w:rPr>
          <w:sz w:val="24"/>
          <w:szCs w:val="24"/>
        </w:rPr>
        <w:t xml:space="preserve"> </w:t>
      </w:r>
      <w:r w:rsidR="00A96E1D" w:rsidRPr="00997A0A">
        <w:rPr>
          <w:sz w:val="24"/>
          <w:szCs w:val="24"/>
        </w:rPr>
        <w:t>necessaria</w:t>
      </w:r>
      <w:r w:rsidR="00DD17E4" w:rsidRPr="00997A0A">
        <w:rPr>
          <w:sz w:val="24"/>
          <w:szCs w:val="24"/>
        </w:rPr>
        <w:t>mente</w:t>
      </w:r>
      <w:r w:rsidR="00A96E1D" w:rsidRPr="00997A0A">
        <w:rPr>
          <w:sz w:val="24"/>
          <w:szCs w:val="24"/>
        </w:rPr>
        <w:t xml:space="preserve"> </w:t>
      </w:r>
      <w:r w:rsidR="00813E35" w:rsidRPr="00997A0A">
        <w:rPr>
          <w:sz w:val="24"/>
          <w:szCs w:val="24"/>
        </w:rPr>
        <w:t>copertura</w:t>
      </w:r>
      <w:r w:rsidR="00A96E1D" w:rsidRPr="00997A0A">
        <w:rPr>
          <w:sz w:val="24"/>
          <w:szCs w:val="24"/>
        </w:rPr>
        <w:t xml:space="preserve"> finanziaria</w:t>
      </w:r>
      <w:r w:rsidR="00813E35" w:rsidRPr="00997A0A">
        <w:rPr>
          <w:sz w:val="24"/>
          <w:szCs w:val="24"/>
        </w:rPr>
        <w:t xml:space="preserve"> a valere sulle facoltà assu</w:t>
      </w:r>
      <w:r w:rsidR="00A96E1D" w:rsidRPr="00997A0A">
        <w:rPr>
          <w:sz w:val="24"/>
          <w:szCs w:val="24"/>
        </w:rPr>
        <w:t>n</w:t>
      </w:r>
      <w:r w:rsidR="00813E35" w:rsidRPr="00997A0A">
        <w:rPr>
          <w:sz w:val="24"/>
          <w:szCs w:val="24"/>
        </w:rPr>
        <w:t>zionali</w:t>
      </w:r>
      <w:r w:rsidR="00FA6675" w:rsidRPr="00997A0A">
        <w:rPr>
          <w:sz w:val="24"/>
          <w:szCs w:val="24"/>
        </w:rPr>
        <w:t xml:space="preserve"> </w:t>
      </w:r>
      <w:r w:rsidR="00813E35" w:rsidRPr="00997A0A">
        <w:rPr>
          <w:sz w:val="24"/>
          <w:szCs w:val="24"/>
        </w:rPr>
        <w:t>previste a legislazione vigente.</w:t>
      </w:r>
    </w:p>
    <w:p w:rsidR="000F3904" w:rsidRPr="00997A0A" w:rsidRDefault="000F3904" w:rsidP="002F76E6">
      <w:pPr>
        <w:pStyle w:val="Corpotesto"/>
        <w:spacing w:after="0" w:line="360" w:lineRule="auto"/>
        <w:ind w:right="102" w:firstLine="709"/>
        <w:jc w:val="both"/>
        <w:rPr>
          <w:sz w:val="24"/>
          <w:szCs w:val="24"/>
        </w:rPr>
      </w:pPr>
      <w:r w:rsidRPr="00997A0A">
        <w:rPr>
          <w:sz w:val="24"/>
          <w:szCs w:val="24"/>
        </w:rPr>
        <w:t xml:space="preserve">Infatti, affinché la mobilità possa essere ritenuta finanziariamente neutrale è necessario che non generi variazioni nella consistenza numerica dell’organico complessivo delle amministrazioni pubbliche e, conseguentemente, non determini aumenti di spesa per il personale a livello complessivo (cfr. delibera n. 169/2020 Corte dei Conti – Sez. regionale di controllo per il Piemonte). L’invarianza della consistenza numerica del personale si realizza sulla base delle due disposizioni di legge sopra ricordate, ossia l’articolo 1, comma 47, della legge n. 311 del 2004 e l’articolo 14, comma 7, del D.L. 95 del 2012. </w:t>
      </w:r>
    </w:p>
    <w:p w:rsidR="000F3904" w:rsidRPr="00997A0A" w:rsidRDefault="000F3904" w:rsidP="002F76E6">
      <w:pPr>
        <w:pStyle w:val="Corpotesto"/>
        <w:spacing w:after="0" w:line="360" w:lineRule="auto"/>
        <w:ind w:right="102" w:firstLine="709"/>
        <w:jc w:val="both"/>
        <w:rPr>
          <w:sz w:val="24"/>
          <w:szCs w:val="24"/>
        </w:rPr>
      </w:pPr>
      <w:r w:rsidRPr="00997A0A">
        <w:rPr>
          <w:sz w:val="24"/>
          <w:szCs w:val="24"/>
        </w:rPr>
        <w:t xml:space="preserve">La neutralità finanziaria è garantita solo qualora le amministrazioni coinvolte nella procedura di mobilità siano soggette a regime limitativo assunzionale da </w:t>
      </w:r>
      <w:r w:rsidRPr="00997A0A">
        <w:rPr>
          <w:i/>
          <w:sz w:val="24"/>
          <w:szCs w:val="24"/>
        </w:rPr>
        <w:t>turn over</w:t>
      </w:r>
      <w:r w:rsidRPr="00997A0A">
        <w:rPr>
          <w:sz w:val="24"/>
          <w:szCs w:val="24"/>
        </w:rPr>
        <w:t xml:space="preserve"> (e non configurato quale limite di spesa), per cui l’ente che riceve personale tramite procedure di mobilità non imputa gli oneri di tali nuovi ingressi alla quota di assunzioni normativamente </w:t>
      </w:r>
      <w:r w:rsidRPr="00997A0A">
        <w:rPr>
          <w:sz w:val="24"/>
          <w:szCs w:val="24"/>
        </w:rPr>
        <w:lastRenderedPageBreak/>
        <w:t xml:space="preserve">prevista, mentre l’ente che cede personale non considera la cessazione per mobilità come equiparata a quelle fisiologicamente derivanti da collocamenti a riposo. </w:t>
      </w:r>
    </w:p>
    <w:p w:rsidR="000F3904" w:rsidRPr="00997A0A" w:rsidRDefault="000F3904" w:rsidP="002F76E6">
      <w:pPr>
        <w:pStyle w:val="Corpotesto"/>
        <w:spacing w:after="0" w:line="360" w:lineRule="auto"/>
        <w:ind w:right="102" w:firstLine="709"/>
        <w:jc w:val="both"/>
        <w:rPr>
          <w:sz w:val="24"/>
          <w:szCs w:val="24"/>
        </w:rPr>
      </w:pPr>
      <w:r w:rsidRPr="00997A0A">
        <w:rPr>
          <w:sz w:val="24"/>
          <w:szCs w:val="24"/>
        </w:rPr>
        <w:t xml:space="preserve">La neutralità finanziaria è garantita per la pubblica amministrazione nel suo complesso e non rispetto al singolo ente (mobilità neutrale). </w:t>
      </w:r>
    </w:p>
    <w:p w:rsidR="000F3904" w:rsidRPr="00997A0A" w:rsidRDefault="000F3904" w:rsidP="002F76E6">
      <w:pPr>
        <w:pStyle w:val="Corpotesto"/>
        <w:spacing w:after="0" w:line="360" w:lineRule="auto"/>
        <w:ind w:right="102" w:firstLine="709"/>
        <w:jc w:val="both"/>
        <w:rPr>
          <w:sz w:val="24"/>
          <w:szCs w:val="24"/>
        </w:rPr>
      </w:pPr>
      <w:r w:rsidRPr="00997A0A">
        <w:rPr>
          <w:sz w:val="24"/>
          <w:szCs w:val="24"/>
        </w:rPr>
        <w:t xml:space="preserve">Nel caso, invece, di un regime limitativo delle assunzioni non basato sul </w:t>
      </w:r>
      <w:r w:rsidRPr="00997A0A">
        <w:rPr>
          <w:i/>
          <w:sz w:val="24"/>
          <w:szCs w:val="24"/>
        </w:rPr>
        <w:t>turn over</w:t>
      </w:r>
      <w:r w:rsidRPr="00997A0A">
        <w:rPr>
          <w:sz w:val="24"/>
          <w:szCs w:val="24"/>
        </w:rPr>
        <w:t xml:space="preserve"> ma su criteri di sostenibilità finanziaria, la mobilità</w:t>
      </w:r>
      <w:r w:rsidR="00997A0A">
        <w:rPr>
          <w:sz w:val="24"/>
          <w:szCs w:val="24"/>
        </w:rPr>
        <w:tab/>
      </w:r>
      <w:r w:rsidRPr="00997A0A">
        <w:rPr>
          <w:sz w:val="24"/>
          <w:szCs w:val="24"/>
        </w:rPr>
        <w:t xml:space="preserve"> non può considerarsi neutrale a livello finanziario, venendo meno i presupposti che ne giustificavano la neutralità in ragione del diverso meccanismo del turn over (cfr. Sezione controllo Lombardia 74/2020/PAR e Sezione controllo Umbria 110/220/PAR).</w:t>
      </w:r>
    </w:p>
    <w:p w:rsidR="000F3904" w:rsidRDefault="000F3904" w:rsidP="002F76E6">
      <w:pPr>
        <w:pStyle w:val="Corpotesto"/>
        <w:spacing w:after="0" w:line="360" w:lineRule="auto"/>
        <w:ind w:right="102" w:firstLine="709"/>
        <w:jc w:val="both"/>
        <w:rPr>
          <w:sz w:val="24"/>
          <w:szCs w:val="24"/>
        </w:rPr>
      </w:pPr>
      <w:r w:rsidRPr="00623990">
        <w:rPr>
          <w:sz w:val="24"/>
          <w:szCs w:val="24"/>
        </w:rPr>
        <w:t xml:space="preserve">Conseguentemente, l’ente soggetto al </w:t>
      </w:r>
      <w:r w:rsidRPr="00623990">
        <w:rPr>
          <w:i/>
          <w:sz w:val="24"/>
          <w:szCs w:val="24"/>
        </w:rPr>
        <w:t>turn over</w:t>
      </w:r>
      <w:r w:rsidRPr="00623990">
        <w:rPr>
          <w:sz w:val="24"/>
          <w:szCs w:val="24"/>
        </w:rPr>
        <w:t xml:space="preserve"> non potendo considerare neutra la mobilità in entrata dovrà attingere dalle proprie facoltà assunzionali ai fini dell’imputazione degli oneri assunzionali derivanti dalla mobilità, al fine di garantire il necessario equilibrio nei saldi di finanza pubblica.</w:t>
      </w:r>
    </w:p>
    <w:p w:rsidR="00D30AF3" w:rsidRPr="00623990" w:rsidRDefault="00D30AF3" w:rsidP="002F76E6">
      <w:pPr>
        <w:pStyle w:val="Corpotesto"/>
        <w:spacing w:after="0" w:line="360" w:lineRule="auto"/>
        <w:ind w:right="102" w:firstLine="709"/>
        <w:jc w:val="both"/>
        <w:rPr>
          <w:sz w:val="24"/>
          <w:szCs w:val="24"/>
        </w:rPr>
      </w:pPr>
      <w:r>
        <w:rPr>
          <w:sz w:val="24"/>
          <w:szCs w:val="24"/>
        </w:rPr>
        <w:t>Si illustrano di seguito gli effetti finanziari nei principali casi di mobilità volontaria.</w:t>
      </w:r>
    </w:p>
    <w:p w:rsidR="00A334E8" w:rsidRPr="00623990" w:rsidRDefault="00A334E8" w:rsidP="00A334E8">
      <w:pPr>
        <w:overflowPunct/>
        <w:autoSpaceDE/>
        <w:autoSpaceDN/>
        <w:adjustRightInd/>
        <w:textAlignment w:val="auto"/>
        <w:rPr>
          <w:rFonts w:ascii="Titillium Web" w:hAnsi="Titillium Web" w:cs="Arial"/>
          <w:sz w:val="24"/>
          <w:szCs w:val="24"/>
        </w:rPr>
      </w:pPr>
    </w:p>
    <w:p w:rsidR="00A334E8" w:rsidRPr="005E6F7E" w:rsidRDefault="00A334E8" w:rsidP="00A334E8">
      <w:pPr>
        <w:pStyle w:val="Paragrafoelenco"/>
        <w:numPr>
          <w:ilvl w:val="0"/>
          <w:numId w:val="17"/>
        </w:numPr>
        <w:overflowPunct/>
        <w:autoSpaceDE/>
        <w:autoSpaceDN/>
        <w:adjustRightInd/>
        <w:textAlignment w:val="auto"/>
        <w:rPr>
          <w:rFonts w:ascii="Titillium Web" w:hAnsi="Titillium Web" w:cs="Arial"/>
          <w:b/>
          <w:sz w:val="24"/>
          <w:szCs w:val="24"/>
        </w:rPr>
      </w:pPr>
      <w:r w:rsidRPr="005E6F7E">
        <w:rPr>
          <w:b/>
          <w:sz w:val="24"/>
          <w:szCs w:val="24"/>
        </w:rPr>
        <w:t>Amministrazioni dello Stato, agenzie ed enti pubblici non economici</w:t>
      </w:r>
      <w:r w:rsidR="00FC392F" w:rsidRPr="005E6F7E">
        <w:rPr>
          <w:b/>
          <w:sz w:val="24"/>
          <w:szCs w:val="24"/>
        </w:rPr>
        <w:t>.</w:t>
      </w:r>
    </w:p>
    <w:p w:rsidR="00A334E8" w:rsidRPr="005E6F7E" w:rsidRDefault="00A334E8" w:rsidP="00A334E8">
      <w:pPr>
        <w:overflowPunct/>
        <w:autoSpaceDE/>
        <w:autoSpaceDN/>
        <w:adjustRightInd/>
        <w:textAlignment w:val="auto"/>
        <w:rPr>
          <w:rFonts w:ascii="Titillium Web" w:hAnsi="Titillium Web" w:cs="Arial"/>
          <w:b/>
          <w:sz w:val="24"/>
          <w:szCs w:val="24"/>
        </w:rPr>
      </w:pPr>
    </w:p>
    <w:p w:rsidR="0075009B" w:rsidRPr="005E6F7E" w:rsidRDefault="00A334E8" w:rsidP="00A334E8">
      <w:pPr>
        <w:overflowPunct/>
        <w:autoSpaceDE/>
        <w:autoSpaceDN/>
        <w:adjustRightInd/>
        <w:spacing w:line="360" w:lineRule="auto"/>
        <w:jc w:val="both"/>
        <w:textAlignment w:val="auto"/>
        <w:rPr>
          <w:sz w:val="24"/>
          <w:szCs w:val="24"/>
        </w:rPr>
      </w:pPr>
      <w:r w:rsidRPr="005E6F7E">
        <w:rPr>
          <w:rFonts w:ascii="Titillium Web" w:hAnsi="Titillium Web" w:cs="Arial"/>
          <w:sz w:val="24"/>
          <w:szCs w:val="24"/>
        </w:rPr>
        <w:t xml:space="preserve">L’articolo 3, comma 1, del decreto </w:t>
      </w:r>
      <w:r w:rsidRPr="000F3904">
        <w:rPr>
          <w:rFonts w:ascii="Titillium Web" w:hAnsi="Titillium Web" w:cs="Arial"/>
          <w:sz w:val="24"/>
          <w:szCs w:val="24"/>
        </w:rPr>
        <w:t>legge 24 giugno 2014, n. 90, convertito, con modificazioni, dalla legge 11 agosto 2014, n. 114,</w:t>
      </w:r>
      <w:r w:rsidR="00973539" w:rsidRPr="000F3904">
        <w:rPr>
          <w:rFonts w:ascii="Titillium Web" w:hAnsi="Titillium Web" w:cs="Arial"/>
          <w:sz w:val="24"/>
          <w:szCs w:val="24"/>
        </w:rPr>
        <w:t xml:space="preserve"> (cfr. ora anche l’art. 3, comma 1, della legge n. 56/2019)</w:t>
      </w:r>
      <w:r w:rsidRPr="000F3904">
        <w:rPr>
          <w:rFonts w:ascii="Titillium Web" w:hAnsi="Titillium Web" w:cs="Arial"/>
          <w:sz w:val="24"/>
          <w:szCs w:val="24"/>
        </w:rPr>
        <w:t xml:space="preserve"> recante la disciplina delle facoltà assu</w:t>
      </w:r>
      <w:r w:rsidR="00306126" w:rsidRPr="000F3904">
        <w:rPr>
          <w:rFonts w:ascii="Titillium Web" w:hAnsi="Titillium Web" w:cs="Arial"/>
          <w:sz w:val="24"/>
          <w:szCs w:val="24"/>
        </w:rPr>
        <w:t>n</w:t>
      </w:r>
      <w:r w:rsidRPr="000F3904">
        <w:rPr>
          <w:rFonts w:ascii="Titillium Web" w:hAnsi="Titillium Web" w:cs="Arial"/>
          <w:sz w:val="24"/>
          <w:szCs w:val="24"/>
        </w:rPr>
        <w:t>zionali delle</w:t>
      </w:r>
      <w:r w:rsidR="0075009B" w:rsidRPr="000F3904">
        <w:rPr>
          <w:sz w:val="24"/>
          <w:szCs w:val="24"/>
        </w:rPr>
        <w:t xml:space="preserve"> amministrazioni dello Stato, </w:t>
      </w:r>
      <w:r w:rsidR="00306126" w:rsidRPr="000F3904">
        <w:rPr>
          <w:sz w:val="24"/>
          <w:szCs w:val="24"/>
        </w:rPr>
        <w:t>anche ad  ordinamento  autonomo</w:t>
      </w:r>
      <w:r w:rsidR="00930E4F">
        <w:rPr>
          <w:sz w:val="24"/>
          <w:szCs w:val="24"/>
        </w:rPr>
        <w:t>,</w:t>
      </w:r>
      <w:r w:rsidR="00306126" w:rsidRPr="000F3904">
        <w:rPr>
          <w:sz w:val="24"/>
          <w:szCs w:val="24"/>
        </w:rPr>
        <w:t xml:space="preserve"> </w:t>
      </w:r>
      <w:r w:rsidRPr="000F3904">
        <w:rPr>
          <w:sz w:val="24"/>
          <w:szCs w:val="24"/>
        </w:rPr>
        <w:t>del</w:t>
      </w:r>
      <w:r w:rsidR="0075009B" w:rsidRPr="000F3904">
        <w:rPr>
          <w:sz w:val="24"/>
          <w:szCs w:val="24"/>
        </w:rPr>
        <w:t xml:space="preserve">le agenzie e </w:t>
      </w:r>
      <w:r w:rsidRPr="000F3904">
        <w:rPr>
          <w:sz w:val="24"/>
          <w:szCs w:val="24"/>
        </w:rPr>
        <w:t>de</w:t>
      </w:r>
      <w:r w:rsidR="0075009B" w:rsidRPr="000F3904">
        <w:rPr>
          <w:sz w:val="24"/>
          <w:szCs w:val="24"/>
        </w:rPr>
        <w:t>gli enti pubblici non economici ivi compresi  quelli  di</w:t>
      </w:r>
      <w:r w:rsidRPr="000F3904">
        <w:rPr>
          <w:sz w:val="24"/>
          <w:szCs w:val="24"/>
        </w:rPr>
        <w:t xml:space="preserve"> </w:t>
      </w:r>
      <w:r w:rsidR="0075009B" w:rsidRPr="000F3904">
        <w:rPr>
          <w:sz w:val="24"/>
          <w:szCs w:val="24"/>
        </w:rPr>
        <w:t>cui all'articolo 70, comma 4, del decreto legislativo 30 marzo  2001,</w:t>
      </w:r>
      <w:r w:rsidRPr="000F3904">
        <w:rPr>
          <w:sz w:val="24"/>
          <w:szCs w:val="24"/>
        </w:rPr>
        <w:t xml:space="preserve"> </w:t>
      </w:r>
      <w:r w:rsidR="0075009B" w:rsidRPr="000F3904">
        <w:rPr>
          <w:sz w:val="24"/>
          <w:szCs w:val="24"/>
        </w:rPr>
        <w:t xml:space="preserve">n. 165,  </w:t>
      </w:r>
      <w:r w:rsidRPr="000F3904">
        <w:rPr>
          <w:sz w:val="24"/>
          <w:szCs w:val="24"/>
        </w:rPr>
        <w:t xml:space="preserve">prevede che tali amministrazioni pubbliche </w:t>
      </w:r>
      <w:r w:rsidR="00973539" w:rsidRPr="000F3904">
        <w:rPr>
          <w:sz w:val="24"/>
          <w:szCs w:val="24"/>
        </w:rPr>
        <w:t xml:space="preserve">possono procedere, </w:t>
      </w:r>
      <w:r w:rsidR="00306126" w:rsidRPr="000F3904">
        <w:rPr>
          <w:sz w:val="24"/>
          <w:szCs w:val="24"/>
        </w:rPr>
        <w:t>a decorrere dall’</w:t>
      </w:r>
      <w:r w:rsidRPr="000F3904">
        <w:rPr>
          <w:sz w:val="24"/>
          <w:szCs w:val="24"/>
        </w:rPr>
        <w:t>anno</w:t>
      </w:r>
      <w:r w:rsidR="00973539" w:rsidRPr="000F3904">
        <w:rPr>
          <w:sz w:val="24"/>
          <w:szCs w:val="24"/>
        </w:rPr>
        <w:t xml:space="preserve"> 2019</w:t>
      </w:r>
      <w:r w:rsidR="0075009B" w:rsidRPr="000F3904">
        <w:rPr>
          <w:sz w:val="24"/>
          <w:szCs w:val="24"/>
        </w:rPr>
        <w:t xml:space="preserve"> ad assunzioni di personale a </w:t>
      </w:r>
      <w:r w:rsidR="00973539" w:rsidRPr="000F3904">
        <w:rPr>
          <w:sz w:val="24"/>
          <w:szCs w:val="24"/>
        </w:rPr>
        <w:t xml:space="preserve">tempo indeterminato nel limite </w:t>
      </w:r>
      <w:r w:rsidR="0075009B" w:rsidRPr="000F3904">
        <w:rPr>
          <w:sz w:val="24"/>
          <w:szCs w:val="24"/>
        </w:rPr>
        <w:t>di</w:t>
      </w:r>
      <w:r w:rsidRPr="000F3904">
        <w:rPr>
          <w:sz w:val="24"/>
          <w:szCs w:val="24"/>
        </w:rPr>
        <w:t xml:space="preserve"> </w:t>
      </w:r>
      <w:r w:rsidR="0075009B" w:rsidRPr="000F3904">
        <w:rPr>
          <w:sz w:val="24"/>
          <w:szCs w:val="24"/>
        </w:rPr>
        <w:t>un contingente di personale complessivamente  corrispondente  ad  una</w:t>
      </w:r>
      <w:r w:rsidRPr="000F3904">
        <w:rPr>
          <w:sz w:val="24"/>
          <w:szCs w:val="24"/>
        </w:rPr>
        <w:t xml:space="preserve"> </w:t>
      </w:r>
      <w:r w:rsidR="0075009B" w:rsidRPr="000F3904">
        <w:rPr>
          <w:sz w:val="24"/>
          <w:szCs w:val="24"/>
        </w:rPr>
        <w:t xml:space="preserve">spesa pari al </w:t>
      </w:r>
      <w:r w:rsidRPr="000F3904">
        <w:rPr>
          <w:sz w:val="24"/>
          <w:szCs w:val="24"/>
        </w:rPr>
        <w:t>100</w:t>
      </w:r>
      <w:r w:rsidR="0075009B" w:rsidRPr="000F3904">
        <w:rPr>
          <w:sz w:val="24"/>
          <w:szCs w:val="24"/>
        </w:rPr>
        <w:t xml:space="preserve"> per cento di quella relativa al personale  di  ruolo</w:t>
      </w:r>
      <w:r w:rsidRPr="000F3904">
        <w:rPr>
          <w:sz w:val="24"/>
          <w:szCs w:val="24"/>
        </w:rPr>
        <w:t xml:space="preserve"> </w:t>
      </w:r>
      <w:r w:rsidR="00973539" w:rsidRPr="000F3904">
        <w:rPr>
          <w:sz w:val="24"/>
          <w:szCs w:val="24"/>
        </w:rPr>
        <w:t xml:space="preserve">cessato </w:t>
      </w:r>
      <w:r w:rsidR="00973539">
        <w:rPr>
          <w:sz w:val="24"/>
          <w:szCs w:val="24"/>
        </w:rPr>
        <w:t>nell'anno precedente</w:t>
      </w:r>
      <w:r w:rsidR="00D30AF3">
        <w:rPr>
          <w:sz w:val="24"/>
          <w:szCs w:val="24"/>
        </w:rPr>
        <w:t>.</w:t>
      </w:r>
      <w:r w:rsidR="00973539">
        <w:rPr>
          <w:color w:val="FF0000"/>
          <w:sz w:val="24"/>
          <w:szCs w:val="24"/>
        </w:rPr>
        <w:t xml:space="preserve"> </w:t>
      </w:r>
      <w:r w:rsidR="0075009B" w:rsidRPr="005E6F7E">
        <w:rPr>
          <w:sz w:val="24"/>
          <w:szCs w:val="24"/>
        </w:rPr>
        <w:t xml:space="preserve">  </w:t>
      </w:r>
    </w:p>
    <w:p w:rsidR="00FA6675" w:rsidRDefault="00F038AA" w:rsidP="00A334E8">
      <w:pPr>
        <w:overflowPunct/>
        <w:autoSpaceDE/>
        <w:autoSpaceDN/>
        <w:adjustRightInd/>
        <w:spacing w:line="360" w:lineRule="auto"/>
        <w:jc w:val="both"/>
        <w:textAlignment w:val="auto"/>
        <w:rPr>
          <w:color w:val="FF0000"/>
          <w:sz w:val="24"/>
          <w:szCs w:val="24"/>
        </w:rPr>
      </w:pPr>
      <w:r w:rsidRPr="005E6F7E">
        <w:rPr>
          <w:sz w:val="24"/>
          <w:szCs w:val="24"/>
        </w:rPr>
        <w:t>Pertanto, trattandosi di disciplina limitativa comune</w:t>
      </w:r>
      <w:r w:rsidR="0027727A">
        <w:rPr>
          <w:sz w:val="24"/>
          <w:szCs w:val="24"/>
        </w:rPr>
        <w:t xml:space="preserve"> agli enti in parola</w:t>
      </w:r>
      <w:r w:rsidRPr="005E6F7E">
        <w:rPr>
          <w:sz w:val="24"/>
          <w:szCs w:val="24"/>
        </w:rPr>
        <w:t xml:space="preserve"> basata sul criterio del </w:t>
      </w:r>
      <w:r w:rsidRPr="005E6F7E">
        <w:rPr>
          <w:i/>
          <w:sz w:val="24"/>
          <w:szCs w:val="24"/>
        </w:rPr>
        <w:t>turn over</w:t>
      </w:r>
      <w:r w:rsidRPr="005E6F7E">
        <w:rPr>
          <w:sz w:val="24"/>
          <w:szCs w:val="24"/>
        </w:rPr>
        <w:t xml:space="preserve">, le amministrazioni </w:t>
      </w:r>
      <w:r w:rsidR="00306126" w:rsidRPr="005E6F7E">
        <w:rPr>
          <w:sz w:val="24"/>
          <w:szCs w:val="24"/>
        </w:rPr>
        <w:t xml:space="preserve">che </w:t>
      </w:r>
      <w:r w:rsidRPr="005E6F7E">
        <w:rPr>
          <w:sz w:val="24"/>
          <w:szCs w:val="24"/>
        </w:rPr>
        <w:t>acquisiranno in mobilità personale proveniente dal medesimo comparto potranno considerare tali assunzioni neutrali ai fini della finanza</w:t>
      </w:r>
      <w:r w:rsidRPr="005E6F7E">
        <w:rPr>
          <w:spacing w:val="2"/>
          <w:sz w:val="24"/>
          <w:szCs w:val="24"/>
        </w:rPr>
        <w:t xml:space="preserve"> </w:t>
      </w:r>
      <w:r w:rsidRPr="005E6F7E">
        <w:rPr>
          <w:sz w:val="24"/>
          <w:szCs w:val="24"/>
        </w:rPr>
        <w:t>pubblica.</w:t>
      </w:r>
    </w:p>
    <w:p w:rsidR="00973539" w:rsidRPr="000F3904" w:rsidRDefault="00DD17E4" w:rsidP="00A334E8">
      <w:pPr>
        <w:overflowPunct/>
        <w:autoSpaceDE/>
        <w:autoSpaceDN/>
        <w:adjustRightInd/>
        <w:spacing w:line="360" w:lineRule="auto"/>
        <w:jc w:val="both"/>
        <w:textAlignment w:val="auto"/>
        <w:rPr>
          <w:sz w:val="24"/>
          <w:szCs w:val="24"/>
        </w:rPr>
      </w:pPr>
      <w:r w:rsidRPr="000F3904">
        <w:rPr>
          <w:sz w:val="24"/>
          <w:szCs w:val="24"/>
        </w:rPr>
        <w:t>C</w:t>
      </w:r>
      <w:r w:rsidR="00973539" w:rsidRPr="000F3904">
        <w:rPr>
          <w:sz w:val="24"/>
          <w:szCs w:val="24"/>
        </w:rPr>
        <w:t>iò significa che l’amministrazione che cede l’unità di personale in mobilità non potrà utilizzare (ex. art</w:t>
      </w:r>
      <w:r w:rsidR="00B96FD9" w:rsidRPr="000F3904">
        <w:rPr>
          <w:sz w:val="24"/>
          <w:szCs w:val="24"/>
        </w:rPr>
        <w:t>icolo</w:t>
      </w:r>
      <w:r w:rsidR="00973539" w:rsidRPr="000F3904">
        <w:rPr>
          <w:sz w:val="24"/>
          <w:szCs w:val="24"/>
        </w:rPr>
        <w:t xml:space="preserve"> 14, c</w:t>
      </w:r>
      <w:r w:rsidR="00B96FD9" w:rsidRPr="000F3904">
        <w:rPr>
          <w:sz w:val="24"/>
          <w:szCs w:val="24"/>
        </w:rPr>
        <w:t>omma</w:t>
      </w:r>
      <w:r w:rsidR="00973539" w:rsidRPr="000F3904">
        <w:rPr>
          <w:sz w:val="24"/>
          <w:szCs w:val="24"/>
        </w:rPr>
        <w:t xml:space="preserve"> 7, </w:t>
      </w:r>
      <w:r w:rsidR="00B96FD9" w:rsidRPr="000F3904">
        <w:rPr>
          <w:sz w:val="24"/>
          <w:szCs w:val="24"/>
        </w:rPr>
        <w:t>del decreto legge  n.</w:t>
      </w:r>
      <w:r w:rsidR="001845B6" w:rsidRPr="000F3904">
        <w:rPr>
          <w:sz w:val="24"/>
          <w:szCs w:val="24"/>
        </w:rPr>
        <w:t xml:space="preserve"> </w:t>
      </w:r>
      <w:r w:rsidR="00973539" w:rsidRPr="000F3904">
        <w:rPr>
          <w:sz w:val="24"/>
          <w:szCs w:val="24"/>
        </w:rPr>
        <w:t xml:space="preserve">95/2012) le corrispondenti economie da cessazione per alimentare il budget assunzionale destinato a nuove assunzioni dall’esterno (ma può </w:t>
      </w:r>
      <w:r w:rsidR="0039132C" w:rsidRPr="000F3904">
        <w:rPr>
          <w:sz w:val="24"/>
          <w:szCs w:val="24"/>
        </w:rPr>
        <w:t xml:space="preserve">sostituire </w:t>
      </w:r>
      <w:r w:rsidR="00973539" w:rsidRPr="000F3904">
        <w:rPr>
          <w:sz w:val="24"/>
          <w:szCs w:val="24"/>
        </w:rPr>
        <w:t xml:space="preserve">il personale ceduto attivando analoga procedura di mobilità in entrata, purché neutrale ossia intercorrente con una amministrazione pubblica soggetta al </w:t>
      </w:r>
      <w:r w:rsidR="00973539" w:rsidRPr="000F3904">
        <w:rPr>
          <w:i/>
          <w:sz w:val="24"/>
          <w:szCs w:val="24"/>
        </w:rPr>
        <w:t>turn over</w:t>
      </w:r>
      <w:r w:rsidR="00973539" w:rsidRPr="000F3904">
        <w:rPr>
          <w:sz w:val="24"/>
          <w:szCs w:val="24"/>
        </w:rPr>
        <w:t>).</w:t>
      </w:r>
      <w:r w:rsidR="009E0EA8">
        <w:rPr>
          <w:sz w:val="24"/>
          <w:szCs w:val="24"/>
        </w:rPr>
        <w:t xml:space="preserve"> </w:t>
      </w:r>
      <w:r w:rsidR="0039132C" w:rsidRPr="000F3904">
        <w:rPr>
          <w:sz w:val="24"/>
          <w:szCs w:val="24"/>
        </w:rPr>
        <w:t>L</w:t>
      </w:r>
      <w:r w:rsidR="00973539" w:rsidRPr="000F3904">
        <w:rPr>
          <w:sz w:val="24"/>
          <w:szCs w:val="24"/>
        </w:rPr>
        <w:t xml:space="preserve">’amministrazione che </w:t>
      </w:r>
      <w:r w:rsidR="00973539" w:rsidRPr="000F3904">
        <w:rPr>
          <w:sz w:val="24"/>
          <w:szCs w:val="24"/>
        </w:rPr>
        <w:lastRenderedPageBreak/>
        <w:t>acquisisce la predetta unità di personale in mobilità non dovrà imputare il relativo onere a valere sulle proprie facoltà assunzionali.</w:t>
      </w:r>
    </w:p>
    <w:p w:rsidR="00F038AA" w:rsidRPr="005E6F7E" w:rsidRDefault="00F038AA" w:rsidP="00A334E8">
      <w:pPr>
        <w:overflowPunct/>
        <w:autoSpaceDE/>
        <w:autoSpaceDN/>
        <w:adjustRightInd/>
        <w:spacing w:line="360" w:lineRule="auto"/>
        <w:jc w:val="both"/>
        <w:textAlignment w:val="auto"/>
        <w:rPr>
          <w:sz w:val="24"/>
          <w:szCs w:val="24"/>
        </w:rPr>
      </w:pPr>
    </w:p>
    <w:p w:rsidR="00E66A4D" w:rsidRPr="005E6F7E" w:rsidRDefault="00E66A4D" w:rsidP="005E6F7E">
      <w:pPr>
        <w:pStyle w:val="Paragrafoelenco"/>
        <w:numPr>
          <w:ilvl w:val="0"/>
          <w:numId w:val="19"/>
        </w:numPr>
        <w:spacing w:line="360" w:lineRule="auto"/>
        <w:jc w:val="both"/>
        <w:rPr>
          <w:b/>
          <w:sz w:val="24"/>
          <w:szCs w:val="24"/>
        </w:rPr>
      </w:pPr>
      <w:r w:rsidRPr="005E6F7E">
        <w:rPr>
          <w:b/>
          <w:sz w:val="24"/>
          <w:szCs w:val="24"/>
        </w:rPr>
        <w:t xml:space="preserve">Agenzie regionali per la protezione dell’ambiente (ARPA). </w:t>
      </w:r>
    </w:p>
    <w:p w:rsidR="005E6F7E" w:rsidRPr="000F3904" w:rsidRDefault="00E66A4D" w:rsidP="005E6F7E">
      <w:pPr>
        <w:spacing w:line="360" w:lineRule="auto"/>
        <w:jc w:val="both"/>
        <w:rPr>
          <w:sz w:val="24"/>
          <w:szCs w:val="24"/>
        </w:rPr>
      </w:pPr>
      <w:r w:rsidRPr="005E6F7E">
        <w:rPr>
          <w:sz w:val="24"/>
          <w:szCs w:val="24"/>
        </w:rPr>
        <w:t>In via preli</w:t>
      </w:r>
      <w:r w:rsidR="005E6F7E" w:rsidRPr="005E6F7E">
        <w:rPr>
          <w:sz w:val="24"/>
          <w:szCs w:val="24"/>
        </w:rPr>
        <w:t>m</w:t>
      </w:r>
      <w:r w:rsidRPr="005E6F7E">
        <w:rPr>
          <w:sz w:val="24"/>
          <w:szCs w:val="24"/>
        </w:rPr>
        <w:t>inare, si evidenzia che il legislatore, al fine di riconoscere specifiche tutel</w:t>
      </w:r>
      <w:r w:rsidR="0039132C">
        <w:rPr>
          <w:sz w:val="24"/>
          <w:szCs w:val="24"/>
        </w:rPr>
        <w:t>e</w:t>
      </w:r>
      <w:r w:rsidRPr="005E6F7E">
        <w:rPr>
          <w:sz w:val="24"/>
          <w:szCs w:val="24"/>
        </w:rPr>
        <w:t xml:space="preserve"> finalizzate al buon andamento delle attività istituzionali delle Agenzie regionali per la protezione dell'ambiente (ARPA), è intervenuto, con l’articolo 1, comma 563, della legge n. 205 del 2017 (legge di bilancio 2018), consentendo deroghe alla vigente normativa nazionale in materia di determinazione delle capacità assunzionali delle stesse</w:t>
      </w:r>
      <w:r w:rsidR="005E6F7E" w:rsidRPr="005E6F7E">
        <w:rPr>
          <w:sz w:val="24"/>
          <w:szCs w:val="24"/>
        </w:rPr>
        <w:t>.</w:t>
      </w:r>
    </w:p>
    <w:p w:rsidR="00E66A4D" w:rsidRPr="005E6F7E" w:rsidRDefault="005E6F7E" w:rsidP="005E6F7E">
      <w:pPr>
        <w:spacing w:line="360" w:lineRule="auto"/>
        <w:jc w:val="both"/>
        <w:rPr>
          <w:sz w:val="24"/>
          <w:szCs w:val="24"/>
        </w:rPr>
      </w:pPr>
      <w:r w:rsidRPr="000F3904">
        <w:rPr>
          <w:sz w:val="24"/>
          <w:szCs w:val="24"/>
        </w:rPr>
        <w:t xml:space="preserve">Al riguardo, </w:t>
      </w:r>
      <w:r w:rsidR="00711817" w:rsidRPr="000F3904">
        <w:rPr>
          <w:sz w:val="24"/>
          <w:szCs w:val="24"/>
        </w:rPr>
        <w:t>s</w:t>
      </w:r>
      <w:r w:rsidRPr="000F3904">
        <w:rPr>
          <w:sz w:val="24"/>
          <w:szCs w:val="24"/>
        </w:rPr>
        <w:t>i ricorda che la citata disposizione ha conse</w:t>
      </w:r>
      <w:r w:rsidR="00711817" w:rsidRPr="000F3904">
        <w:rPr>
          <w:sz w:val="24"/>
          <w:szCs w:val="24"/>
        </w:rPr>
        <w:t>ntito, pe</w:t>
      </w:r>
      <w:r w:rsidRPr="000F3904">
        <w:rPr>
          <w:sz w:val="24"/>
          <w:szCs w:val="24"/>
        </w:rPr>
        <w:t>r</w:t>
      </w:r>
      <w:r w:rsidR="00711817" w:rsidRPr="000F3904">
        <w:rPr>
          <w:sz w:val="24"/>
          <w:szCs w:val="24"/>
        </w:rPr>
        <w:t xml:space="preserve"> il tri</w:t>
      </w:r>
      <w:r w:rsidRPr="000F3904">
        <w:rPr>
          <w:sz w:val="24"/>
          <w:szCs w:val="24"/>
        </w:rPr>
        <w:t xml:space="preserve">ennio </w:t>
      </w:r>
      <w:r w:rsidRPr="005E6F7E">
        <w:rPr>
          <w:sz w:val="24"/>
          <w:szCs w:val="24"/>
        </w:rPr>
        <w:t>2018-2020, l’</w:t>
      </w:r>
      <w:r w:rsidR="00E66A4D" w:rsidRPr="005E6F7E">
        <w:rPr>
          <w:sz w:val="24"/>
          <w:szCs w:val="24"/>
        </w:rPr>
        <w:t xml:space="preserve">incremento del 25 per cento </w:t>
      </w:r>
      <w:r w:rsidRPr="005E6F7E">
        <w:rPr>
          <w:sz w:val="24"/>
          <w:szCs w:val="24"/>
        </w:rPr>
        <w:t>dell’ordinario</w:t>
      </w:r>
      <w:r w:rsidR="00E66A4D" w:rsidRPr="005E6F7E">
        <w:rPr>
          <w:sz w:val="24"/>
          <w:szCs w:val="24"/>
        </w:rPr>
        <w:t xml:space="preserve"> turn over che corrisponde ad una spesa pari al 100 per cento di quella relativa al personale di ruolo cessato nell’anno precedente, ai sensi di quanto previsto dall’articolo 3, comma 5, del decreto legge n. 90/2014, convertito, con modificazioni, dalla legge n. 114/2014.</w:t>
      </w:r>
    </w:p>
    <w:p w:rsidR="00711817" w:rsidRDefault="005E6F7E">
      <w:pPr>
        <w:pStyle w:val="Corpotesto"/>
        <w:spacing w:after="0" w:line="360" w:lineRule="auto"/>
        <w:ind w:right="-57"/>
        <w:jc w:val="both"/>
        <w:rPr>
          <w:color w:val="FF0000"/>
          <w:sz w:val="24"/>
          <w:szCs w:val="24"/>
        </w:rPr>
      </w:pPr>
      <w:r w:rsidRPr="005E6F7E">
        <w:rPr>
          <w:sz w:val="24"/>
          <w:szCs w:val="24"/>
        </w:rPr>
        <w:t>Tanto premesso e, in ogni caso, anche in assenza di una proroga di tale ampli</w:t>
      </w:r>
      <w:r w:rsidR="00711817">
        <w:rPr>
          <w:sz w:val="24"/>
          <w:szCs w:val="24"/>
        </w:rPr>
        <w:t>am</w:t>
      </w:r>
      <w:r w:rsidRPr="005E6F7E">
        <w:rPr>
          <w:sz w:val="24"/>
          <w:szCs w:val="24"/>
        </w:rPr>
        <w:t>e</w:t>
      </w:r>
      <w:r w:rsidR="00711817">
        <w:rPr>
          <w:sz w:val="24"/>
          <w:szCs w:val="24"/>
        </w:rPr>
        <w:t>n</w:t>
      </w:r>
      <w:r w:rsidRPr="005E6F7E">
        <w:rPr>
          <w:sz w:val="24"/>
          <w:szCs w:val="24"/>
        </w:rPr>
        <w:t>to del turn over, le amministrazioni che acquisiranno personale in mobilità dalle ARPA potranno considerare tali assunzioni neutrali ai fini della finanza</w:t>
      </w:r>
      <w:r w:rsidRPr="005E6F7E">
        <w:rPr>
          <w:spacing w:val="2"/>
          <w:sz w:val="24"/>
          <w:szCs w:val="24"/>
        </w:rPr>
        <w:t xml:space="preserve"> </w:t>
      </w:r>
      <w:r w:rsidRPr="005E6F7E">
        <w:rPr>
          <w:sz w:val="24"/>
          <w:szCs w:val="24"/>
        </w:rPr>
        <w:t>pubblica.</w:t>
      </w:r>
      <w:r w:rsidR="0039132C">
        <w:rPr>
          <w:sz w:val="24"/>
          <w:szCs w:val="24"/>
        </w:rPr>
        <w:t xml:space="preserve"> Le amministrazioni, pertanto opereranno come descritto nel caso precedente.</w:t>
      </w:r>
    </w:p>
    <w:p w:rsidR="00E66A4D" w:rsidRPr="005E6F7E" w:rsidRDefault="00E66A4D" w:rsidP="005E6F7E">
      <w:pPr>
        <w:jc w:val="both"/>
        <w:rPr>
          <w:i/>
          <w:sz w:val="24"/>
          <w:szCs w:val="24"/>
        </w:rPr>
      </w:pPr>
    </w:p>
    <w:p w:rsidR="00FA6675" w:rsidRPr="005E6F7E" w:rsidRDefault="00FA6675" w:rsidP="00FA6675">
      <w:pPr>
        <w:pStyle w:val="Corpotesto"/>
        <w:widowControl w:val="0"/>
        <w:numPr>
          <w:ilvl w:val="0"/>
          <w:numId w:val="14"/>
        </w:numPr>
        <w:overflowPunct/>
        <w:adjustRightInd/>
        <w:spacing w:after="0" w:line="360" w:lineRule="auto"/>
        <w:ind w:right="-57"/>
        <w:jc w:val="both"/>
        <w:textAlignment w:val="auto"/>
        <w:rPr>
          <w:b/>
          <w:sz w:val="24"/>
          <w:szCs w:val="24"/>
        </w:rPr>
      </w:pPr>
      <w:r w:rsidRPr="005E6F7E">
        <w:rPr>
          <w:b/>
          <w:sz w:val="24"/>
          <w:szCs w:val="24"/>
        </w:rPr>
        <w:t xml:space="preserve">Aziende ed enti del Servizio sanitario nazionale. </w:t>
      </w:r>
    </w:p>
    <w:p w:rsidR="00FA6675" w:rsidRPr="005E6F7E" w:rsidRDefault="00FA6675" w:rsidP="00FA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57"/>
        <w:jc w:val="both"/>
        <w:rPr>
          <w:sz w:val="24"/>
          <w:szCs w:val="24"/>
        </w:rPr>
      </w:pPr>
      <w:r w:rsidRPr="005E6F7E">
        <w:rPr>
          <w:sz w:val="24"/>
          <w:szCs w:val="24"/>
        </w:rPr>
        <w:t xml:space="preserve">L’articolo 11, comma 1, del decreto legge 30 aprile 2019, n. 35, </w:t>
      </w:r>
      <w:r w:rsidRPr="005E6F7E">
        <w:rPr>
          <w:rStyle w:val="noteevidenza"/>
          <w:sz w:val="24"/>
          <w:szCs w:val="24"/>
        </w:rPr>
        <w:t xml:space="preserve">convertito, con modificazioni, dalla legge 25 giugno 2019, n. 60, prevede che a </w:t>
      </w:r>
      <w:r w:rsidRPr="005E6F7E">
        <w:rPr>
          <w:sz w:val="24"/>
          <w:szCs w:val="24"/>
        </w:rPr>
        <w:t>decorrere dal 2019 la spesa per il personale degli enti del Servizio sanitari</w:t>
      </w:r>
      <w:r w:rsidR="00306126" w:rsidRPr="005E6F7E">
        <w:rPr>
          <w:sz w:val="24"/>
          <w:szCs w:val="24"/>
        </w:rPr>
        <w:t>o nazionale non può superare il</w:t>
      </w:r>
      <w:r w:rsidRPr="005E6F7E">
        <w:rPr>
          <w:sz w:val="24"/>
          <w:szCs w:val="24"/>
        </w:rPr>
        <w:t xml:space="preserve"> valore della spesa sostenuta nell'anno 2018 o, se su</w:t>
      </w:r>
      <w:r w:rsidR="00306126" w:rsidRPr="005E6F7E">
        <w:rPr>
          <w:sz w:val="24"/>
          <w:szCs w:val="24"/>
        </w:rPr>
        <w:t xml:space="preserve">periore, il valore della spesa </w:t>
      </w:r>
      <w:r w:rsidRPr="005E6F7E">
        <w:rPr>
          <w:sz w:val="24"/>
          <w:szCs w:val="24"/>
        </w:rPr>
        <w:t xml:space="preserve">prevista all'articolo 2, comma 71, della legge 23 dicembre 2009, n.  191. </w:t>
      </w:r>
    </w:p>
    <w:p w:rsidR="00FA6675" w:rsidRPr="005E6F7E" w:rsidRDefault="00FA6675" w:rsidP="00FA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57"/>
        <w:jc w:val="both"/>
        <w:rPr>
          <w:sz w:val="24"/>
          <w:szCs w:val="24"/>
        </w:rPr>
      </w:pPr>
      <w:r w:rsidRPr="005E6F7E">
        <w:rPr>
          <w:sz w:val="24"/>
          <w:szCs w:val="24"/>
        </w:rPr>
        <w:t>I predetti valori so</w:t>
      </w:r>
      <w:r w:rsidR="00306126" w:rsidRPr="005E6F7E">
        <w:rPr>
          <w:sz w:val="24"/>
          <w:szCs w:val="24"/>
        </w:rPr>
        <w:t>no incrementati annualmente, a livello</w:t>
      </w:r>
      <w:r w:rsidRPr="005E6F7E">
        <w:rPr>
          <w:sz w:val="24"/>
          <w:szCs w:val="24"/>
        </w:rPr>
        <w:t xml:space="preserve"> regionale, di un importo pari al 5 per cento dell'incremento del Fondo sanitario regionale rispetto</w:t>
      </w:r>
      <w:r w:rsidR="00306126" w:rsidRPr="005E6F7E">
        <w:rPr>
          <w:sz w:val="24"/>
          <w:szCs w:val="24"/>
        </w:rPr>
        <w:t xml:space="preserve"> all'esercizio precedente. Nel triennio </w:t>
      </w:r>
      <w:r w:rsidRPr="005E6F7E">
        <w:rPr>
          <w:sz w:val="24"/>
          <w:szCs w:val="24"/>
        </w:rPr>
        <w:t xml:space="preserve">2019-2021 la predetta percentuale è pari al 10 per </w:t>
      </w:r>
      <w:r w:rsidR="00306126" w:rsidRPr="005E6F7E">
        <w:rPr>
          <w:sz w:val="24"/>
          <w:szCs w:val="24"/>
        </w:rPr>
        <w:t xml:space="preserve">cento per ciascun anno. Per il </w:t>
      </w:r>
      <w:r w:rsidRPr="005E6F7E">
        <w:rPr>
          <w:sz w:val="24"/>
          <w:szCs w:val="24"/>
        </w:rPr>
        <w:t>medesimo</w:t>
      </w:r>
      <w:r w:rsidR="00306126" w:rsidRPr="005E6F7E">
        <w:rPr>
          <w:sz w:val="24"/>
          <w:szCs w:val="24"/>
        </w:rPr>
        <w:t xml:space="preserve"> triennio, qualora </w:t>
      </w:r>
      <w:r w:rsidR="00A532B7">
        <w:rPr>
          <w:sz w:val="24"/>
          <w:szCs w:val="24"/>
        </w:rPr>
        <w:t xml:space="preserve">nella </w:t>
      </w:r>
      <w:r w:rsidR="00711817">
        <w:rPr>
          <w:sz w:val="24"/>
          <w:szCs w:val="24"/>
        </w:rPr>
        <w:t xml:space="preserve">singola </w:t>
      </w:r>
      <w:r w:rsidRPr="005E6F7E">
        <w:rPr>
          <w:sz w:val="24"/>
          <w:szCs w:val="24"/>
        </w:rPr>
        <w:t>Regione emergano oggettivi ult</w:t>
      </w:r>
      <w:r w:rsidR="00A532B7">
        <w:rPr>
          <w:sz w:val="24"/>
          <w:szCs w:val="24"/>
        </w:rPr>
        <w:t xml:space="preserve">eriori fabbisogni di personale rispetto </w:t>
      </w:r>
      <w:r w:rsidRPr="005E6F7E">
        <w:rPr>
          <w:sz w:val="24"/>
          <w:szCs w:val="24"/>
        </w:rPr>
        <w:t>alle facoltà assunzionali, può</w:t>
      </w:r>
      <w:r w:rsidR="00A532B7">
        <w:rPr>
          <w:sz w:val="24"/>
          <w:szCs w:val="24"/>
        </w:rPr>
        <w:t xml:space="preserve"> essere concessa alla medesima </w:t>
      </w:r>
      <w:r w:rsidRPr="005E6F7E">
        <w:rPr>
          <w:sz w:val="24"/>
          <w:szCs w:val="24"/>
        </w:rPr>
        <w:t>Regione un'ulteriore variazione del 5 per cent</w:t>
      </w:r>
      <w:r w:rsidR="00A532B7">
        <w:rPr>
          <w:sz w:val="24"/>
          <w:szCs w:val="24"/>
        </w:rPr>
        <w:t xml:space="preserve">o dell'incremento del Fondo </w:t>
      </w:r>
      <w:r w:rsidRPr="005E6F7E">
        <w:rPr>
          <w:sz w:val="24"/>
          <w:szCs w:val="24"/>
        </w:rPr>
        <w:t>sanitario regionale risp</w:t>
      </w:r>
      <w:r w:rsidR="00A532B7">
        <w:rPr>
          <w:sz w:val="24"/>
          <w:szCs w:val="24"/>
        </w:rPr>
        <w:t>etto all'anno precedente, fermo</w:t>
      </w:r>
      <w:r w:rsidRPr="005E6F7E">
        <w:rPr>
          <w:sz w:val="24"/>
          <w:szCs w:val="24"/>
        </w:rPr>
        <w:t xml:space="preserve"> re</w:t>
      </w:r>
      <w:r w:rsidR="00A532B7">
        <w:rPr>
          <w:sz w:val="24"/>
          <w:szCs w:val="24"/>
        </w:rPr>
        <w:t>stando il rispetto dell'equilibrio</w:t>
      </w:r>
      <w:r w:rsidRPr="005E6F7E">
        <w:rPr>
          <w:sz w:val="24"/>
          <w:szCs w:val="24"/>
        </w:rPr>
        <w:t xml:space="preserve"> ec</w:t>
      </w:r>
      <w:r w:rsidR="00A532B7">
        <w:rPr>
          <w:sz w:val="24"/>
          <w:szCs w:val="24"/>
        </w:rPr>
        <w:t xml:space="preserve">onomico e finanziario del Servizio sanitario </w:t>
      </w:r>
      <w:r w:rsidRPr="005E6F7E">
        <w:rPr>
          <w:sz w:val="24"/>
          <w:szCs w:val="24"/>
        </w:rPr>
        <w:t>regionale.</w:t>
      </w:r>
    </w:p>
    <w:p w:rsidR="00FA6675" w:rsidRDefault="00FA6675" w:rsidP="00FA6675">
      <w:pPr>
        <w:pStyle w:val="Corpotesto"/>
        <w:spacing w:after="0" w:line="360" w:lineRule="auto"/>
        <w:ind w:right="101"/>
        <w:jc w:val="both"/>
        <w:rPr>
          <w:sz w:val="24"/>
          <w:szCs w:val="24"/>
        </w:rPr>
      </w:pPr>
      <w:r w:rsidRPr="005E6F7E">
        <w:rPr>
          <w:sz w:val="24"/>
          <w:szCs w:val="24"/>
        </w:rPr>
        <w:t xml:space="preserve">Pertanto, ad esclusione dei casi in cui il personale provenga da aziende ed enti del Servizio sanitario nazionale di Regioni </w:t>
      </w:r>
      <w:r w:rsidRPr="00A532B7">
        <w:rPr>
          <w:sz w:val="24"/>
          <w:szCs w:val="24"/>
        </w:rPr>
        <w:t xml:space="preserve">soggette all’attuazione di piani di rientro dal disavanzo sanitario </w:t>
      </w:r>
      <w:r w:rsidR="00DD1E39" w:rsidRPr="00A532B7">
        <w:rPr>
          <w:sz w:val="24"/>
          <w:szCs w:val="24"/>
        </w:rPr>
        <w:lastRenderedPageBreak/>
        <w:t>che prevedano - in via specifica - limitazioni alle assunzioni,</w:t>
      </w:r>
      <w:r w:rsidR="00DD1E39" w:rsidRPr="005E6F7E">
        <w:rPr>
          <w:sz w:val="24"/>
          <w:szCs w:val="24"/>
        </w:rPr>
        <w:t xml:space="preserve"> </w:t>
      </w:r>
      <w:r w:rsidRPr="005E6F7E">
        <w:rPr>
          <w:sz w:val="24"/>
          <w:szCs w:val="24"/>
        </w:rPr>
        <w:t xml:space="preserve">le amministrazioni che acquisiranno personale in mobilità da tali enti non potranno più considerare </w:t>
      </w:r>
      <w:r w:rsidR="00DD1E39" w:rsidRPr="005E6F7E">
        <w:rPr>
          <w:sz w:val="24"/>
          <w:szCs w:val="24"/>
        </w:rPr>
        <w:t xml:space="preserve">tali </w:t>
      </w:r>
      <w:r w:rsidRPr="005E6F7E">
        <w:rPr>
          <w:sz w:val="24"/>
          <w:szCs w:val="24"/>
        </w:rPr>
        <w:t>assunzion</w:t>
      </w:r>
      <w:r w:rsidR="00DD1E39" w:rsidRPr="005E6F7E">
        <w:rPr>
          <w:sz w:val="24"/>
          <w:szCs w:val="24"/>
        </w:rPr>
        <w:t>i</w:t>
      </w:r>
      <w:r w:rsidRPr="005E6F7E">
        <w:rPr>
          <w:sz w:val="24"/>
          <w:szCs w:val="24"/>
        </w:rPr>
        <w:t xml:space="preserve"> neutral</w:t>
      </w:r>
      <w:r w:rsidR="00DD1E39" w:rsidRPr="005E6F7E">
        <w:rPr>
          <w:sz w:val="24"/>
          <w:szCs w:val="24"/>
        </w:rPr>
        <w:t>i</w:t>
      </w:r>
      <w:r w:rsidRPr="005E6F7E">
        <w:rPr>
          <w:sz w:val="24"/>
          <w:szCs w:val="24"/>
        </w:rPr>
        <w:t xml:space="preserve"> ai fini della finanza pubblica, ma dovranno</w:t>
      </w:r>
      <w:r w:rsidR="00A532B7" w:rsidRPr="000F3904">
        <w:rPr>
          <w:sz w:val="24"/>
          <w:szCs w:val="24"/>
        </w:rPr>
        <w:t>, invece, imputare i corrispondenti oneri</w:t>
      </w:r>
      <w:r w:rsidRPr="000F3904">
        <w:rPr>
          <w:sz w:val="24"/>
          <w:szCs w:val="24"/>
        </w:rPr>
        <w:t xml:space="preserve"> a valere sulle proprie facoltà assunzionali</w:t>
      </w:r>
      <w:r w:rsidR="00A532B7" w:rsidRPr="000F3904">
        <w:rPr>
          <w:sz w:val="24"/>
          <w:szCs w:val="24"/>
        </w:rPr>
        <w:t xml:space="preserve"> disponibili a legislazione vigente</w:t>
      </w:r>
      <w:r w:rsidR="00AB31A1" w:rsidRPr="000F3904">
        <w:rPr>
          <w:sz w:val="24"/>
          <w:szCs w:val="24"/>
        </w:rPr>
        <w:t xml:space="preserve">, al fine di assicurare la neutralità della procedura di mobilità a livello di finanza pubblica complessiva. </w:t>
      </w:r>
    </w:p>
    <w:p w:rsidR="0027727A" w:rsidRPr="000F3904" w:rsidRDefault="0027727A" w:rsidP="00FA6675">
      <w:pPr>
        <w:pStyle w:val="Corpotesto"/>
        <w:spacing w:after="0" w:line="360" w:lineRule="auto"/>
        <w:ind w:right="101"/>
        <w:jc w:val="both"/>
        <w:rPr>
          <w:sz w:val="24"/>
          <w:szCs w:val="24"/>
        </w:rPr>
      </w:pPr>
    </w:p>
    <w:p w:rsidR="00380BF6" w:rsidRPr="005E6F7E" w:rsidRDefault="00380BF6" w:rsidP="00380BF6">
      <w:pPr>
        <w:pStyle w:val="Paragrafoelenco"/>
        <w:numPr>
          <w:ilvl w:val="0"/>
          <w:numId w:val="16"/>
        </w:numPr>
        <w:spacing w:line="360" w:lineRule="auto"/>
        <w:jc w:val="both"/>
        <w:rPr>
          <w:b/>
          <w:bCs/>
          <w:sz w:val="24"/>
          <w:szCs w:val="24"/>
        </w:rPr>
      </w:pPr>
      <w:r w:rsidRPr="005E6F7E">
        <w:rPr>
          <w:b/>
          <w:bCs/>
          <w:sz w:val="24"/>
          <w:szCs w:val="24"/>
        </w:rPr>
        <w:t>Camere di commercio, industria, artigianato e agricoltura.</w:t>
      </w:r>
    </w:p>
    <w:p w:rsidR="00380BF6" w:rsidRPr="005E6F7E" w:rsidRDefault="00380BF6" w:rsidP="00380BF6">
      <w:pPr>
        <w:overflowPunct/>
        <w:autoSpaceDE/>
        <w:autoSpaceDN/>
        <w:adjustRightInd/>
        <w:spacing w:line="360" w:lineRule="auto"/>
        <w:jc w:val="both"/>
        <w:textAlignment w:val="auto"/>
        <w:rPr>
          <w:sz w:val="24"/>
          <w:szCs w:val="24"/>
        </w:rPr>
      </w:pPr>
      <w:r w:rsidRPr="005E6F7E">
        <w:rPr>
          <w:sz w:val="24"/>
          <w:szCs w:val="24"/>
        </w:rPr>
        <w:t>Con il decreto legislativo 25 novembre 2016, n. 219 è stata data attuazione della delega di cui all'articolo 10 della legge 7 agosto 2015, n. 124, in materia di riordino delle funzioni e del finanziamento delle camere di commercio, industria, artigianato e agricoltura.</w:t>
      </w:r>
    </w:p>
    <w:p w:rsidR="00380BF6" w:rsidRPr="005E6F7E" w:rsidRDefault="00380BF6" w:rsidP="00380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jc w:val="both"/>
        <w:textAlignment w:val="auto"/>
        <w:rPr>
          <w:sz w:val="24"/>
          <w:szCs w:val="24"/>
        </w:rPr>
      </w:pPr>
      <w:r w:rsidRPr="005E6F7E">
        <w:rPr>
          <w:bCs/>
          <w:iCs/>
          <w:sz w:val="24"/>
          <w:szCs w:val="24"/>
        </w:rPr>
        <w:t>L’articolo 3, comma 9-</w:t>
      </w:r>
      <w:r w:rsidRPr="005E6F7E">
        <w:rPr>
          <w:bCs/>
          <w:i/>
          <w:iCs/>
          <w:sz w:val="24"/>
          <w:szCs w:val="24"/>
        </w:rPr>
        <w:t>bis</w:t>
      </w:r>
      <w:r w:rsidRPr="005E6F7E">
        <w:rPr>
          <w:bCs/>
          <w:iCs/>
          <w:sz w:val="24"/>
          <w:szCs w:val="24"/>
        </w:rPr>
        <w:t>, del citato decreto legislativo prevede che a decorrere dal 1° gennaio 2019 e  fino  al  completamento delle procedure di mobilità finalizzate alla ricollocazione del personale eventualmente soprannumerario, le camere di commercio non oggetto di accorpamento, ovvero che abbiano concluso il processo di  accorpamento,  possono  procedere  all'assunzione  di nuovo  personale, nel limite della spesa corrispondente alle cessazioni dell'anno precedente al fine di assicurare l'invarianza degli effetti sui saldi di finanza pubblica</w:t>
      </w:r>
      <w:r w:rsidRPr="005E6F7E">
        <w:rPr>
          <w:sz w:val="24"/>
          <w:szCs w:val="24"/>
        </w:rPr>
        <w:t>.</w:t>
      </w:r>
    </w:p>
    <w:p w:rsidR="00380BF6" w:rsidRPr="005E6F7E" w:rsidRDefault="00380BF6" w:rsidP="00380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jc w:val="both"/>
        <w:textAlignment w:val="auto"/>
        <w:rPr>
          <w:sz w:val="24"/>
          <w:szCs w:val="24"/>
        </w:rPr>
      </w:pPr>
      <w:r w:rsidRPr="005E6F7E">
        <w:rPr>
          <w:sz w:val="24"/>
          <w:szCs w:val="24"/>
        </w:rPr>
        <w:t xml:space="preserve">Ciò posto, trattandosi di disciplina limitativa basata sul criterio del </w:t>
      </w:r>
      <w:r w:rsidRPr="005E6F7E">
        <w:rPr>
          <w:i/>
          <w:sz w:val="24"/>
          <w:szCs w:val="24"/>
        </w:rPr>
        <w:t>turn over</w:t>
      </w:r>
      <w:r w:rsidRPr="005E6F7E">
        <w:rPr>
          <w:sz w:val="24"/>
          <w:szCs w:val="24"/>
        </w:rPr>
        <w:t xml:space="preserve">, le amministrazioni che </w:t>
      </w:r>
      <w:r w:rsidR="003419DD">
        <w:rPr>
          <w:sz w:val="24"/>
          <w:szCs w:val="24"/>
        </w:rPr>
        <w:t>acquisiscono</w:t>
      </w:r>
      <w:r w:rsidR="003419DD" w:rsidRPr="005E6F7E">
        <w:rPr>
          <w:sz w:val="24"/>
          <w:szCs w:val="24"/>
        </w:rPr>
        <w:t xml:space="preserve"> </w:t>
      </w:r>
      <w:r w:rsidR="00DD1E39" w:rsidRPr="005E6F7E">
        <w:rPr>
          <w:sz w:val="24"/>
          <w:szCs w:val="24"/>
        </w:rPr>
        <w:t xml:space="preserve">personale </w:t>
      </w:r>
      <w:r w:rsidRPr="005E6F7E">
        <w:rPr>
          <w:sz w:val="24"/>
          <w:szCs w:val="24"/>
        </w:rPr>
        <w:t xml:space="preserve">in mobilità </w:t>
      </w:r>
      <w:r w:rsidR="00E25D5E" w:rsidRPr="005E6F7E">
        <w:rPr>
          <w:sz w:val="24"/>
          <w:szCs w:val="24"/>
        </w:rPr>
        <w:t xml:space="preserve">dalle CCIAA </w:t>
      </w:r>
      <w:r w:rsidRPr="005E6F7E">
        <w:rPr>
          <w:sz w:val="24"/>
          <w:szCs w:val="24"/>
        </w:rPr>
        <w:t>po</w:t>
      </w:r>
      <w:r w:rsidR="003419DD">
        <w:rPr>
          <w:sz w:val="24"/>
          <w:szCs w:val="24"/>
        </w:rPr>
        <w:t>ssono</w:t>
      </w:r>
      <w:r w:rsidRPr="005E6F7E">
        <w:rPr>
          <w:sz w:val="24"/>
          <w:szCs w:val="24"/>
        </w:rPr>
        <w:t xml:space="preserve"> considerare tali assunzioni neutrali ai fini della finanza</w:t>
      </w:r>
      <w:r w:rsidRPr="005E6F7E">
        <w:rPr>
          <w:spacing w:val="2"/>
          <w:sz w:val="24"/>
          <w:szCs w:val="24"/>
        </w:rPr>
        <w:t xml:space="preserve"> </w:t>
      </w:r>
      <w:r w:rsidRPr="005E6F7E">
        <w:rPr>
          <w:sz w:val="24"/>
          <w:szCs w:val="24"/>
        </w:rPr>
        <w:t>pubblica.</w:t>
      </w:r>
    </w:p>
    <w:p w:rsidR="00380BF6" w:rsidRPr="005E6F7E" w:rsidRDefault="00380BF6" w:rsidP="00380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jc w:val="both"/>
        <w:textAlignment w:val="auto"/>
        <w:rPr>
          <w:sz w:val="24"/>
          <w:szCs w:val="24"/>
        </w:rPr>
      </w:pPr>
    </w:p>
    <w:p w:rsidR="00380BF6" w:rsidRPr="005E6F7E" w:rsidRDefault="00380BF6" w:rsidP="00380BF6">
      <w:pPr>
        <w:pStyle w:val="Corpotesto"/>
        <w:widowControl w:val="0"/>
        <w:numPr>
          <w:ilvl w:val="0"/>
          <w:numId w:val="14"/>
        </w:numPr>
        <w:overflowPunct/>
        <w:adjustRightInd/>
        <w:spacing w:after="0" w:line="360" w:lineRule="auto"/>
        <w:ind w:right="101"/>
        <w:jc w:val="both"/>
        <w:textAlignment w:val="auto"/>
        <w:rPr>
          <w:b/>
          <w:sz w:val="24"/>
          <w:szCs w:val="24"/>
        </w:rPr>
      </w:pPr>
      <w:r w:rsidRPr="005E6F7E">
        <w:rPr>
          <w:b/>
          <w:sz w:val="24"/>
          <w:szCs w:val="24"/>
        </w:rPr>
        <w:t>Enti di ricerca.</w:t>
      </w:r>
    </w:p>
    <w:p w:rsidR="00380BF6" w:rsidRPr="005E6F7E" w:rsidRDefault="00380BF6" w:rsidP="00380BF6">
      <w:pPr>
        <w:pStyle w:val="Corpotesto"/>
        <w:spacing w:after="0" w:line="360" w:lineRule="auto"/>
        <w:ind w:right="101"/>
        <w:jc w:val="both"/>
        <w:rPr>
          <w:sz w:val="24"/>
          <w:szCs w:val="24"/>
        </w:rPr>
      </w:pPr>
      <w:r w:rsidRPr="005E6F7E">
        <w:rPr>
          <w:sz w:val="24"/>
          <w:szCs w:val="24"/>
        </w:rPr>
        <w:t>L’articolo 9 del decreto legislativo 25 novembre 2016, n. 218, ha previsto una nuova disciplina delle facoltà assunzionali degli enti di ricerca al fine di assicurare la sostenibilità della spesa di personale rispetto agli equilibri di bilancio.</w:t>
      </w:r>
    </w:p>
    <w:p w:rsidR="00F038AA" w:rsidRPr="005E6F7E" w:rsidRDefault="00380BF6" w:rsidP="003A3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rPr>
      </w:pPr>
      <w:r w:rsidRPr="005E6F7E">
        <w:rPr>
          <w:sz w:val="24"/>
          <w:szCs w:val="24"/>
        </w:rPr>
        <w:t>L'indicatore del limite massimo alle spese di personale è calcolato rapportando le spese   complessive per il personale di competenza dell'anno di riferimento alla media delle entrate complessive dell'ente come risultante dai bilanci consuntivi dell'ultimo triennio.</w:t>
      </w:r>
      <w:r w:rsidR="003A3D9F">
        <w:rPr>
          <w:sz w:val="24"/>
          <w:szCs w:val="24"/>
        </w:rPr>
        <w:t xml:space="preserve"> </w:t>
      </w:r>
      <w:r w:rsidRPr="005E6F7E">
        <w:rPr>
          <w:bCs/>
          <w:iCs/>
          <w:sz w:val="24"/>
          <w:szCs w:val="24"/>
        </w:rPr>
        <w:t xml:space="preserve">Tale rapporto, alla data del 31 dicembre dell’anno precedente a quello di riferimento, non può superare l'80 per cento e, in caso contrario, </w:t>
      </w:r>
      <w:r w:rsidR="003A3D9F">
        <w:rPr>
          <w:bCs/>
          <w:iCs/>
          <w:sz w:val="24"/>
          <w:szCs w:val="24"/>
        </w:rPr>
        <w:t xml:space="preserve">gli enti </w:t>
      </w:r>
      <w:r w:rsidRPr="005E6F7E">
        <w:rPr>
          <w:sz w:val="24"/>
          <w:szCs w:val="24"/>
        </w:rPr>
        <w:t xml:space="preserve">non possono procedere all'assunzione di personale. Gli enti, invece, che </w:t>
      </w:r>
      <w:r w:rsidR="003A3D9F">
        <w:rPr>
          <w:sz w:val="24"/>
          <w:szCs w:val="24"/>
        </w:rPr>
        <w:t>registrano</w:t>
      </w:r>
      <w:r w:rsidR="003A3D9F" w:rsidRPr="005E6F7E">
        <w:rPr>
          <w:sz w:val="24"/>
          <w:szCs w:val="24"/>
        </w:rPr>
        <w:t xml:space="preserve"> </w:t>
      </w:r>
      <w:r w:rsidR="00306126" w:rsidRPr="005E6F7E">
        <w:rPr>
          <w:sz w:val="24"/>
          <w:szCs w:val="24"/>
        </w:rPr>
        <w:t xml:space="preserve">un rapporto delle spese di </w:t>
      </w:r>
      <w:r w:rsidRPr="005E6F7E">
        <w:rPr>
          <w:sz w:val="24"/>
          <w:szCs w:val="24"/>
        </w:rPr>
        <w:t>personale inferiore all'80 per cento, possono procedere all'assunzione di personale con oneri a carico del proprio bilancio per una spesa media annua pari a non più del margine a disposizione rispetto al limite dell'80 per cento.</w:t>
      </w:r>
    </w:p>
    <w:p w:rsidR="00306126" w:rsidRPr="005E6F7E" w:rsidRDefault="00306126" w:rsidP="00F038AA">
      <w:pPr>
        <w:pStyle w:val="PreformattatoHTML"/>
        <w:spacing w:line="360" w:lineRule="auto"/>
        <w:jc w:val="both"/>
        <w:rPr>
          <w:rFonts w:ascii="Times New Roman" w:hAnsi="Times New Roman"/>
          <w:sz w:val="24"/>
          <w:szCs w:val="24"/>
          <w:lang w:val="it-IT" w:eastAsia="it-IT"/>
        </w:rPr>
      </w:pPr>
      <w:r w:rsidRPr="005E6F7E">
        <w:rPr>
          <w:rFonts w:ascii="Times New Roman" w:hAnsi="Times New Roman"/>
          <w:sz w:val="24"/>
          <w:szCs w:val="24"/>
          <w:lang w:val="it-IT" w:eastAsia="it-IT"/>
        </w:rPr>
        <w:t>Pertanto, le amministrazioni che acquisi</w:t>
      </w:r>
      <w:r w:rsidR="003A3D9F">
        <w:rPr>
          <w:rFonts w:ascii="Times New Roman" w:hAnsi="Times New Roman"/>
          <w:sz w:val="24"/>
          <w:szCs w:val="24"/>
          <w:lang w:val="it-IT" w:eastAsia="it-IT"/>
        </w:rPr>
        <w:t>scono</w:t>
      </w:r>
      <w:r w:rsidRPr="005E6F7E">
        <w:rPr>
          <w:rFonts w:ascii="Times New Roman" w:hAnsi="Times New Roman"/>
          <w:sz w:val="24"/>
          <w:szCs w:val="24"/>
          <w:lang w:val="it-IT" w:eastAsia="it-IT"/>
        </w:rPr>
        <w:t xml:space="preserve"> personale in mobilità dagli enti di ricerca non po</w:t>
      </w:r>
      <w:r w:rsidR="003A3D9F">
        <w:rPr>
          <w:rFonts w:ascii="Times New Roman" w:hAnsi="Times New Roman"/>
          <w:sz w:val="24"/>
          <w:szCs w:val="24"/>
          <w:lang w:val="it-IT" w:eastAsia="it-IT"/>
        </w:rPr>
        <w:t>ssono</w:t>
      </w:r>
      <w:r w:rsidRPr="005E6F7E">
        <w:rPr>
          <w:rFonts w:ascii="Times New Roman" w:hAnsi="Times New Roman"/>
          <w:sz w:val="24"/>
          <w:szCs w:val="24"/>
          <w:lang w:val="it-IT" w:eastAsia="it-IT"/>
        </w:rPr>
        <w:t xml:space="preserve"> considerare </w:t>
      </w:r>
      <w:r w:rsidR="00DD1E39" w:rsidRPr="005E6F7E">
        <w:rPr>
          <w:rFonts w:ascii="Times New Roman" w:hAnsi="Times New Roman"/>
          <w:sz w:val="24"/>
          <w:szCs w:val="24"/>
          <w:lang w:val="it-IT" w:eastAsia="it-IT"/>
        </w:rPr>
        <w:t xml:space="preserve">tali </w:t>
      </w:r>
      <w:r w:rsidRPr="005E6F7E">
        <w:rPr>
          <w:rFonts w:ascii="Times New Roman" w:hAnsi="Times New Roman"/>
          <w:sz w:val="24"/>
          <w:szCs w:val="24"/>
          <w:lang w:val="it-IT" w:eastAsia="it-IT"/>
        </w:rPr>
        <w:t>assunzion</w:t>
      </w:r>
      <w:r w:rsidR="00DD1E39" w:rsidRPr="005E6F7E">
        <w:rPr>
          <w:rFonts w:ascii="Times New Roman" w:hAnsi="Times New Roman"/>
          <w:sz w:val="24"/>
          <w:szCs w:val="24"/>
          <w:lang w:val="it-IT" w:eastAsia="it-IT"/>
        </w:rPr>
        <w:t>i</w:t>
      </w:r>
      <w:r w:rsidRPr="005E6F7E">
        <w:rPr>
          <w:rFonts w:ascii="Times New Roman" w:hAnsi="Times New Roman"/>
          <w:sz w:val="24"/>
          <w:szCs w:val="24"/>
          <w:lang w:val="it-IT" w:eastAsia="it-IT"/>
        </w:rPr>
        <w:t xml:space="preserve"> neutral</w:t>
      </w:r>
      <w:r w:rsidR="00DD1E39" w:rsidRPr="005E6F7E">
        <w:rPr>
          <w:rFonts w:ascii="Times New Roman" w:hAnsi="Times New Roman"/>
          <w:sz w:val="24"/>
          <w:szCs w:val="24"/>
          <w:lang w:val="it-IT" w:eastAsia="it-IT"/>
        </w:rPr>
        <w:t>i</w:t>
      </w:r>
      <w:r w:rsidRPr="005E6F7E">
        <w:rPr>
          <w:rFonts w:ascii="Times New Roman" w:hAnsi="Times New Roman"/>
          <w:sz w:val="24"/>
          <w:szCs w:val="24"/>
          <w:lang w:val="it-IT" w:eastAsia="it-IT"/>
        </w:rPr>
        <w:t xml:space="preserve"> ai fini della finanza pubblica, nel caso in cui gli stessi </w:t>
      </w:r>
      <w:r w:rsidRPr="005E6F7E">
        <w:rPr>
          <w:rFonts w:ascii="Times New Roman" w:hAnsi="Times New Roman"/>
          <w:sz w:val="24"/>
          <w:szCs w:val="24"/>
          <w:lang w:val="it-IT" w:eastAsia="it-IT"/>
        </w:rPr>
        <w:lastRenderedPageBreak/>
        <w:t xml:space="preserve">rientrino nelle condizioni di </w:t>
      </w:r>
      <w:r w:rsidR="003A3D9F">
        <w:rPr>
          <w:rFonts w:ascii="Times New Roman" w:hAnsi="Times New Roman"/>
          <w:sz w:val="24"/>
          <w:szCs w:val="24"/>
          <w:lang w:val="it-IT" w:eastAsia="it-IT"/>
        </w:rPr>
        <w:t>potenzialità assunzionale</w:t>
      </w:r>
      <w:r w:rsidR="003A3D9F" w:rsidRPr="005E6F7E">
        <w:rPr>
          <w:rFonts w:ascii="Times New Roman" w:hAnsi="Times New Roman"/>
          <w:sz w:val="24"/>
          <w:szCs w:val="24"/>
          <w:lang w:val="it-IT" w:eastAsia="it-IT"/>
        </w:rPr>
        <w:t xml:space="preserve"> </w:t>
      </w:r>
      <w:r w:rsidR="003A3D9F">
        <w:rPr>
          <w:rFonts w:ascii="Times New Roman" w:hAnsi="Times New Roman"/>
          <w:sz w:val="24"/>
          <w:szCs w:val="24"/>
          <w:lang w:val="it-IT" w:eastAsia="it-IT"/>
        </w:rPr>
        <w:t>grazie ad</w:t>
      </w:r>
      <w:r w:rsidR="00F055B4" w:rsidRPr="005E6F7E">
        <w:rPr>
          <w:rFonts w:ascii="Times New Roman" w:hAnsi="Times New Roman"/>
          <w:sz w:val="24"/>
          <w:szCs w:val="24"/>
          <w:lang w:val="it-IT" w:eastAsia="it-IT"/>
        </w:rPr>
        <w:t xml:space="preserve"> un rapporto delle spese di personale inferiore all'80 per cento</w:t>
      </w:r>
      <w:r w:rsidRPr="005E6F7E">
        <w:rPr>
          <w:rFonts w:ascii="Times New Roman" w:hAnsi="Times New Roman"/>
          <w:sz w:val="24"/>
          <w:szCs w:val="24"/>
          <w:lang w:val="it-IT" w:eastAsia="it-IT"/>
        </w:rPr>
        <w:t>.</w:t>
      </w:r>
    </w:p>
    <w:p w:rsidR="002F76E6" w:rsidRPr="005E6F7E" w:rsidRDefault="002F76E6" w:rsidP="00813E35">
      <w:pPr>
        <w:pStyle w:val="Corpotesto"/>
        <w:spacing w:after="0" w:line="360" w:lineRule="auto"/>
        <w:ind w:right="101" w:firstLine="709"/>
        <w:jc w:val="both"/>
        <w:rPr>
          <w:sz w:val="24"/>
          <w:szCs w:val="24"/>
        </w:rPr>
      </w:pPr>
    </w:p>
    <w:p w:rsidR="00813E35" w:rsidRPr="005E6F7E" w:rsidRDefault="00813E35" w:rsidP="0007236A">
      <w:pPr>
        <w:pStyle w:val="Corpotesto"/>
        <w:widowControl w:val="0"/>
        <w:numPr>
          <w:ilvl w:val="0"/>
          <w:numId w:val="14"/>
        </w:numPr>
        <w:overflowPunct/>
        <w:adjustRightInd/>
        <w:spacing w:after="0" w:line="360" w:lineRule="auto"/>
        <w:ind w:right="101"/>
        <w:jc w:val="both"/>
        <w:textAlignment w:val="auto"/>
        <w:rPr>
          <w:b/>
          <w:sz w:val="24"/>
          <w:szCs w:val="24"/>
        </w:rPr>
      </w:pPr>
      <w:r w:rsidRPr="005E6F7E">
        <w:rPr>
          <w:b/>
          <w:sz w:val="24"/>
          <w:szCs w:val="24"/>
        </w:rPr>
        <w:t xml:space="preserve">Regioni </w:t>
      </w:r>
      <w:r w:rsidR="004A1780" w:rsidRPr="005E6F7E">
        <w:rPr>
          <w:b/>
          <w:sz w:val="24"/>
          <w:szCs w:val="24"/>
        </w:rPr>
        <w:t xml:space="preserve">a statuto ordinario </w:t>
      </w:r>
      <w:r w:rsidRPr="005E6F7E">
        <w:rPr>
          <w:b/>
          <w:sz w:val="24"/>
          <w:szCs w:val="24"/>
        </w:rPr>
        <w:t>ed enti locali.</w:t>
      </w:r>
    </w:p>
    <w:p w:rsidR="00813E35" w:rsidRPr="005E6F7E" w:rsidRDefault="00D30AF3" w:rsidP="0007236A">
      <w:pPr>
        <w:pStyle w:val="Corpotesto"/>
        <w:spacing w:after="0" w:line="360" w:lineRule="auto"/>
        <w:ind w:right="101"/>
        <w:jc w:val="both"/>
        <w:rPr>
          <w:sz w:val="24"/>
          <w:szCs w:val="24"/>
        </w:rPr>
      </w:pPr>
      <w:r>
        <w:rPr>
          <w:sz w:val="24"/>
          <w:szCs w:val="24"/>
        </w:rPr>
        <w:t>C</w:t>
      </w:r>
      <w:r w:rsidR="00813E35" w:rsidRPr="005E6F7E">
        <w:rPr>
          <w:sz w:val="24"/>
          <w:szCs w:val="24"/>
        </w:rPr>
        <w:t>on il nuovo sistema delineato dall’intervento normativo di cui all’articolo 33, commi 1, 1-</w:t>
      </w:r>
      <w:r w:rsidR="00813E35" w:rsidRPr="005E6F7E">
        <w:rPr>
          <w:i/>
          <w:sz w:val="24"/>
          <w:szCs w:val="24"/>
        </w:rPr>
        <w:t xml:space="preserve">bis </w:t>
      </w:r>
      <w:r w:rsidR="00813E35" w:rsidRPr="005E6F7E">
        <w:rPr>
          <w:sz w:val="24"/>
          <w:szCs w:val="24"/>
        </w:rPr>
        <w:t>e 2, del decreto legge n. 34</w:t>
      </w:r>
      <w:r w:rsidR="009415D6">
        <w:rPr>
          <w:sz w:val="24"/>
          <w:szCs w:val="24"/>
        </w:rPr>
        <w:t xml:space="preserve"> del </w:t>
      </w:r>
      <w:r w:rsidR="00813E35" w:rsidRPr="005E6F7E">
        <w:rPr>
          <w:sz w:val="24"/>
          <w:szCs w:val="24"/>
        </w:rPr>
        <w:t xml:space="preserve">2019, il legislatore ha introdotto, rispettivamente, per le regioni a statuto ordinario, le province e le città metropolitane, ed i comuni, un innovativo principio in materia di facoltà assunzionali basato sulla sostenibilità finanziaria, in sostituzione del precedente criterio fondato sul </w:t>
      </w:r>
      <w:r w:rsidR="00813E35" w:rsidRPr="00CC53A6">
        <w:rPr>
          <w:i/>
          <w:sz w:val="24"/>
          <w:szCs w:val="24"/>
        </w:rPr>
        <w:t>turn over</w:t>
      </w:r>
      <w:r w:rsidR="00813E35" w:rsidRPr="005E6F7E">
        <w:rPr>
          <w:sz w:val="24"/>
          <w:szCs w:val="24"/>
        </w:rPr>
        <w:t>, introducendo una nuova disciplina maggiormente flessibile per il reclutamento di personale.</w:t>
      </w:r>
    </w:p>
    <w:p w:rsidR="00813E35" w:rsidRPr="005E6F7E" w:rsidRDefault="00813E35" w:rsidP="00813E35">
      <w:pPr>
        <w:pStyle w:val="Paragrafoelenco"/>
        <w:widowControl w:val="0"/>
        <w:numPr>
          <w:ilvl w:val="0"/>
          <w:numId w:val="13"/>
        </w:numPr>
        <w:overflowPunct/>
        <w:adjustRightInd/>
        <w:spacing w:line="360" w:lineRule="auto"/>
        <w:ind w:left="0" w:firstLine="0"/>
        <w:jc w:val="both"/>
        <w:textAlignment w:val="auto"/>
        <w:rPr>
          <w:sz w:val="24"/>
          <w:szCs w:val="24"/>
        </w:rPr>
      </w:pPr>
      <w:r w:rsidRPr="005E6F7E">
        <w:rPr>
          <w:sz w:val="24"/>
          <w:szCs w:val="24"/>
        </w:rPr>
        <w:t xml:space="preserve">Regioni a statuto ordinario - articolo 33, </w:t>
      </w:r>
      <w:r w:rsidRPr="005E6F7E">
        <w:rPr>
          <w:spacing w:val="-3"/>
          <w:sz w:val="24"/>
          <w:szCs w:val="24"/>
        </w:rPr>
        <w:t xml:space="preserve">comma </w:t>
      </w:r>
      <w:r w:rsidRPr="005E6F7E">
        <w:rPr>
          <w:sz w:val="24"/>
          <w:szCs w:val="24"/>
        </w:rPr>
        <w:t xml:space="preserve">1, del decreto legge </w:t>
      </w:r>
      <w:r w:rsidRPr="005E6F7E">
        <w:rPr>
          <w:spacing w:val="-3"/>
          <w:sz w:val="24"/>
          <w:szCs w:val="24"/>
        </w:rPr>
        <w:t>n.</w:t>
      </w:r>
      <w:r w:rsidRPr="005E6F7E">
        <w:rPr>
          <w:spacing w:val="14"/>
          <w:sz w:val="24"/>
          <w:szCs w:val="24"/>
        </w:rPr>
        <w:t xml:space="preserve"> </w:t>
      </w:r>
      <w:r w:rsidRPr="005E6F7E">
        <w:rPr>
          <w:sz w:val="24"/>
          <w:szCs w:val="24"/>
        </w:rPr>
        <w:t>34/2019.</w:t>
      </w:r>
    </w:p>
    <w:p w:rsidR="00813E35" w:rsidRPr="005E6F7E" w:rsidRDefault="00813E35" w:rsidP="00813E35">
      <w:pPr>
        <w:pStyle w:val="Corpotesto"/>
        <w:spacing w:after="0" w:line="360" w:lineRule="auto"/>
        <w:ind w:left="709" w:right="101"/>
        <w:jc w:val="both"/>
        <w:rPr>
          <w:sz w:val="24"/>
          <w:szCs w:val="24"/>
        </w:rPr>
      </w:pPr>
      <w:r w:rsidRPr="005E6F7E">
        <w:rPr>
          <w:sz w:val="24"/>
          <w:szCs w:val="24"/>
        </w:rPr>
        <w:t>A decorrere dal 1° gennaio 2020 le amministrazioni di altri comparti che acquisi</w:t>
      </w:r>
      <w:r w:rsidR="003A3D9F">
        <w:rPr>
          <w:sz w:val="24"/>
          <w:szCs w:val="24"/>
        </w:rPr>
        <w:t>scono</w:t>
      </w:r>
      <w:r w:rsidRPr="005E6F7E">
        <w:rPr>
          <w:sz w:val="24"/>
          <w:szCs w:val="24"/>
        </w:rPr>
        <w:t xml:space="preserve"> personale in mobilità da tali enti non po</w:t>
      </w:r>
      <w:r w:rsidR="003A3D9F">
        <w:rPr>
          <w:sz w:val="24"/>
          <w:szCs w:val="24"/>
        </w:rPr>
        <w:t>ssono</w:t>
      </w:r>
      <w:r w:rsidRPr="005E6F7E">
        <w:rPr>
          <w:sz w:val="24"/>
          <w:szCs w:val="24"/>
        </w:rPr>
        <w:t xml:space="preserve"> considerare l’assunzione neutrale ai fini della finanza pubblica, ma dovranno effettuarl</w:t>
      </w:r>
      <w:r w:rsidR="00364BB5" w:rsidRPr="005E6F7E">
        <w:rPr>
          <w:sz w:val="24"/>
          <w:szCs w:val="24"/>
        </w:rPr>
        <w:t>a</w:t>
      </w:r>
      <w:r w:rsidRPr="005E6F7E">
        <w:rPr>
          <w:sz w:val="24"/>
          <w:szCs w:val="24"/>
        </w:rPr>
        <w:t xml:space="preserve"> a valere sulle proprie facoltà assunzionali.</w:t>
      </w:r>
    </w:p>
    <w:p w:rsidR="00813E35" w:rsidRPr="005E6F7E" w:rsidRDefault="00813E35" w:rsidP="00813E35">
      <w:pPr>
        <w:pStyle w:val="Paragrafoelenco"/>
        <w:widowControl w:val="0"/>
        <w:numPr>
          <w:ilvl w:val="0"/>
          <w:numId w:val="13"/>
        </w:numPr>
        <w:tabs>
          <w:tab w:val="left" w:pos="0"/>
        </w:tabs>
        <w:overflowPunct/>
        <w:adjustRightInd/>
        <w:spacing w:line="360" w:lineRule="auto"/>
        <w:ind w:left="0" w:right="102" w:firstLine="0"/>
        <w:jc w:val="both"/>
        <w:textAlignment w:val="auto"/>
        <w:rPr>
          <w:sz w:val="24"/>
          <w:szCs w:val="24"/>
        </w:rPr>
      </w:pPr>
      <w:r w:rsidRPr="005E6F7E">
        <w:rPr>
          <w:sz w:val="24"/>
          <w:szCs w:val="24"/>
        </w:rPr>
        <w:t>Province e Città metropolitane - articolo 33, comma 1-</w:t>
      </w:r>
      <w:r w:rsidRPr="005E6F7E">
        <w:rPr>
          <w:i/>
          <w:sz w:val="24"/>
          <w:szCs w:val="24"/>
        </w:rPr>
        <w:t>bis</w:t>
      </w:r>
      <w:r w:rsidRPr="005E6F7E">
        <w:rPr>
          <w:sz w:val="24"/>
          <w:szCs w:val="24"/>
        </w:rPr>
        <w:t xml:space="preserve">, del decreto legge </w:t>
      </w:r>
      <w:r w:rsidRPr="005E6F7E">
        <w:rPr>
          <w:spacing w:val="-3"/>
          <w:sz w:val="24"/>
          <w:szCs w:val="24"/>
        </w:rPr>
        <w:t xml:space="preserve">n. </w:t>
      </w:r>
      <w:r w:rsidRPr="005E6F7E">
        <w:rPr>
          <w:sz w:val="24"/>
          <w:szCs w:val="24"/>
        </w:rPr>
        <w:t xml:space="preserve">34/2019. </w:t>
      </w:r>
    </w:p>
    <w:p w:rsidR="00813E35" w:rsidRPr="005E6F7E" w:rsidRDefault="00813E35" w:rsidP="00813E35">
      <w:pPr>
        <w:tabs>
          <w:tab w:val="left" w:pos="1989"/>
        </w:tabs>
        <w:spacing w:line="360" w:lineRule="auto"/>
        <w:ind w:left="709" w:right="102"/>
        <w:jc w:val="both"/>
        <w:rPr>
          <w:sz w:val="24"/>
          <w:szCs w:val="24"/>
        </w:rPr>
      </w:pPr>
      <w:r w:rsidRPr="005E6F7E">
        <w:rPr>
          <w:spacing w:val="3"/>
          <w:sz w:val="24"/>
          <w:szCs w:val="24"/>
        </w:rPr>
        <w:t xml:space="preserve">Il </w:t>
      </w:r>
      <w:r w:rsidRPr="005E6F7E">
        <w:rPr>
          <w:sz w:val="24"/>
          <w:szCs w:val="24"/>
        </w:rPr>
        <w:t xml:space="preserve">decreto attuativo del Ministro per </w:t>
      </w:r>
      <w:r w:rsidRPr="005E6F7E">
        <w:rPr>
          <w:spacing w:val="-3"/>
          <w:sz w:val="24"/>
          <w:szCs w:val="24"/>
        </w:rPr>
        <w:t xml:space="preserve">la </w:t>
      </w:r>
      <w:r w:rsidRPr="005E6F7E">
        <w:rPr>
          <w:sz w:val="24"/>
          <w:szCs w:val="24"/>
        </w:rPr>
        <w:t xml:space="preserve">pubblica amministrazione, di concerto con </w:t>
      </w:r>
      <w:r w:rsidRPr="005E6F7E">
        <w:rPr>
          <w:spacing w:val="-3"/>
          <w:sz w:val="24"/>
          <w:szCs w:val="24"/>
        </w:rPr>
        <w:t xml:space="preserve">il </w:t>
      </w:r>
      <w:r w:rsidRPr="005E6F7E">
        <w:rPr>
          <w:sz w:val="24"/>
          <w:szCs w:val="24"/>
        </w:rPr>
        <w:t xml:space="preserve">Ministro dell’economia e </w:t>
      </w:r>
      <w:r w:rsidRPr="005E6F7E">
        <w:rPr>
          <w:spacing w:val="-3"/>
          <w:sz w:val="24"/>
          <w:szCs w:val="24"/>
        </w:rPr>
        <w:t xml:space="preserve">il </w:t>
      </w:r>
      <w:r w:rsidRPr="005E6F7E">
        <w:rPr>
          <w:sz w:val="24"/>
          <w:szCs w:val="24"/>
        </w:rPr>
        <w:t xml:space="preserve">Ministro dell’interno, previa intesa </w:t>
      </w:r>
      <w:r w:rsidRPr="005E6F7E">
        <w:rPr>
          <w:spacing w:val="-3"/>
          <w:sz w:val="24"/>
          <w:szCs w:val="24"/>
        </w:rPr>
        <w:t xml:space="preserve">in </w:t>
      </w:r>
      <w:r w:rsidRPr="005E6F7E">
        <w:rPr>
          <w:sz w:val="24"/>
          <w:szCs w:val="24"/>
        </w:rPr>
        <w:t>sede di Conferenza Stato-città ed autonomie locali, non risulta ancora</w:t>
      </w:r>
      <w:r w:rsidRPr="005E6F7E">
        <w:rPr>
          <w:spacing w:val="8"/>
          <w:sz w:val="24"/>
          <w:szCs w:val="24"/>
        </w:rPr>
        <w:t xml:space="preserve"> </w:t>
      </w:r>
      <w:r w:rsidRPr="005E6F7E">
        <w:rPr>
          <w:sz w:val="24"/>
          <w:szCs w:val="24"/>
        </w:rPr>
        <w:t>emanato.</w:t>
      </w:r>
    </w:p>
    <w:p w:rsidR="00813E35" w:rsidRPr="005E6F7E" w:rsidRDefault="00813E35" w:rsidP="00813E35">
      <w:pPr>
        <w:pStyle w:val="Corpotesto"/>
        <w:spacing w:after="0" w:line="360" w:lineRule="auto"/>
        <w:ind w:left="709" w:right="102"/>
        <w:jc w:val="both"/>
        <w:rPr>
          <w:sz w:val="24"/>
          <w:szCs w:val="24"/>
        </w:rPr>
      </w:pPr>
      <w:r w:rsidRPr="005E6F7E">
        <w:rPr>
          <w:sz w:val="24"/>
          <w:szCs w:val="24"/>
        </w:rPr>
        <w:t xml:space="preserve">Pertanto, </w:t>
      </w:r>
      <w:r w:rsidRPr="005E6F7E">
        <w:rPr>
          <w:spacing w:val="-4"/>
          <w:sz w:val="24"/>
          <w:szCs w:val="24"/>
        </w:rPr>
        <w:t xml:space="preserve">fino </w:t>
      </w:r>
      <w:r w:rsidRPr="005E6F7E">
        <w:rPr>
          <w:sz w:val="24"/>
          <w:szCs w:val="24"/>
        </w:rPr>
        <w:t xml:space="preserve">all’adozione di tale provvedimento, </w:t>
      </w:r>
      <w:r w:rsidRPr="005E6F7E">
        <w:rPr>
          <w:spacing w:val="-5"/>
          <w:sz w:val="24"/>
          <w:szCs w:val="24"/>
        </w:rPr>
        <w:t xml:space="preserve">le </w:t>
      </w:r>
      <w:r w:rsidRPr="005E6F7E">
        <w:rPr>
          <w:sz w:val="24"/>
          <w:szCs w:val="24"/>
        </w:rPr>
        <w:t xml:space="preserve">amministrazioni che acquisiranno personale </w:t>
      </w:r>
      <w:r w:rsidRPr="005E6F7E">
        <w:rPr>
          <w:spacing w:val="-3"/>
          <w:sz w:val="24"/>
          <w:szCs w:val="24"/>
        </w:rPr>
        <w:t xml:space="preserve">in </w:t>
      </w:r>
      <w:r w:rsidRPr="005E6F7E">
        <w:rPr>
          <w:sz w:val="24"/>
          <w:szCs w:val="24"/>
        </w:rPr>
        <w:t>mobilità da tali enti potranno considerare l’assunzione neutrale ai fini della finanza</w:t>
      </w:r>
      <w:r w:rsidRPr="005E6F7E">
        <w:rPr>
          <w:spacing w:val="2"/>
          <w:sz w:val="24"/>
          <w:szCs w:val="24"/>
        </w:rPr>
        <w:t xml:space="preserve"> </w:t>
      </w:r>
      <w:r w:rsidRPr="005E6F7E">
        <w:rPr>
          <w:sz w:val="24"/>
          <w:szCs w:val="24"/>
        </w:rPr>
        <w:t>pubblica.</w:t>
      </w:r>
    </w:p>
    <w:p w:rsidR="00813E35" w:rsidRPr="005E6F7E" w:rsidRDefault="00813E35" w:rsidP="00813E35">
      <w:pPr>
        <w:pStyle w:val="Paragrafoelenco"/>
        <w:widowControl w:val="0"/>
        <w:numPr>
          <w:ilvl w:val="0"/>
          <w:numId w:val="13"/>
        </w:numPr>
        <w:tabs>
          <w:tab w:val="left" w:pos="1989"/>
        </w:tabs>
        <w:overflowPunct/>
        <w:adjustRightInd/>
        <w:spacing w:line="360" w:lineRule="auto"/>
        <w:ind w:right="102" w:hanging="720"/>
        <w:jc w:val="both"/>
        <w:textAlignment w:val="auto"/>
        <w:rPr>
          <w:sz w:val="24"/>
          <w:szCs w:val="24"/>
        </w:rPr>
      </w:pPr>
      <w:r w:rsidRPr="005E6F7E">
        <w:rPr>
          <w:sz w:val="24"/>
          <w:szCs w:val="24"/>
        </w:rPr>
        <w:t xml:space="preserve">Comuni - articolo 33, </w:t>
      </w:r>
      <w:r w:rsidRPr="005E6F7E">
        <w:rPr>
          <w:spacing w:val="-3"/>
          <w:sz w:val="24"/>
          <w:szCs w:val="24"/>
        </w:rPr>
        <w:t xml:space="preserve">comma </w:t>
      </w:r>
      <w:r w:rsidRPr="005E6F7E">
        <w:rPr>
          <w:sz w:val="24"/>
          <w:szCs w:val="24"/>
        </w:rPr>
        <w:t xml:space="preserve">2, del decreto legge </w:t>
      </w:r>
      <w:r w:rsidRPr="005E6F7E">
        <w:rPr>
          <w:spacing w:val="-3"/>
          <w:sz w:val="24"/>
          <w:szCs w:val="24"/>
        </w:rPr>
        <w:t>n.</w:t>
      </w:r>
      <w:r w:rsidRPr="005E6F7E">
        <w:rPr>
          <w:spacing w:val="20"/>
          <w:sz w:val="24"/>
          <w:szCs w:val="24"/>
        </w:rPr>
        <w:t xml:space="preserve"> </w:t>
      </w:r>
      <w:r w:rsidRPr="005E6F7E">
        <w:rPr>
          <w:sz w:val="24"/>
          <w:szCs w:val="24"/>
        </w:rPr>
        <w:t>34/2019.</w:t>
      </w:r>
    </w:p>
    <w:p w:rsidR="007868A0" w:rsidRPr="000F3904" w:rsidRDefault="00813E35" w:rsidP="00570590">
      <w:pPr>
        <w:pStyle w:val="Corpotesto"/>
        <w:spacing w:line="360" w:lineRule="auto"/>
        <w:ind w:left="709" w:right="101"/>
        <w:jc w:val="both"/>
        <w:rPr>
          <w:sz w:val="24"/>
          <w:szCs w:val="24"/>
        </w:rPr>
      </w:pPr>
      <w:r w:rsidRPr="005E6F7E">
        <w:rPr>
          <w:sz w:val="24"/>
          <w:szCs w:val="24"/>
        </w:rPr>
        <w:t>A decorrere dal 20 aprile</w:t>
      </w:r>
      <w:r w:rsidRPr="005E6F7E">
        <w:rPr>
          <w:spacing w:val="-2"/>
          <w:sz w:val="24"/>
          <w:szCs w:val="24"/>
        </w:rPr>
        <w:t xml:space="preserve"> </w:t>
      </w:r>
      <w:r w:rsidRPr="005E6F7E">
        <w:rPr>
          <w:sz w:val="24"/>
          <w:szCs w:val="24"/>
        </w:rPr>
        <w:t xml:space="preserve">2020, come precisato dalla Circolare esplicativa del 13 maggio 2020 a firma congiunta del Ministro per la </w:t>
      </w:r>
      <w:r w:rsidR="00364BB5" w:rsidRPr="005E6F7E">
        <w:rPr>
          <w:sz w:val="24"/>
          <w:szCs w:val="24"/>
        </w:rPr>
        <w:t>P</w:t>
      </w:r>
      <w:r w:rsidRPr="005E6F7E">
        <w:rPr>
          <w:sz w:val="24"/>
          <w:szCs w:val="24"/>
        </w:rPr>
        <w:t>ubblica amministrazione, del Ministro dell’economia e delle finanze e del Ministro dell’interno (registrata dalla Corte dei conti), le amministrazioni di altri comparti che acquisi</w:t>
      </w:r>
      <w:r w:rsidR="003A3D9F">
        <w:rPr>
          <w:sz w:val="24"/>
          <w:szCs w:val="24"/>
        </w:rPr>
        <w:t>scono</w:t>
      </w:r>
      <w:r w:rsidRPr="005E6F7E">
        <w:rPr>
          <w:sz w:val="24"/>
          <w:szCs w:val="24"/>
        </w:rPr>
        <w:t xml:space="preserve"> personale in mobilità da tali enti non po</w:t>
      </w:r>
      <w:r w:rsidR="003A3D9F">
        <w:rPr>
          <w:sz w:val="24"/>
          <w:szCs w:val="24"/>
        </w:rPr>
        <w:t>ssono</w:t>
      </w:r>
      <w:r w:rsidRPr="005E6F7E">
        <w:rPr>
          <w:sz w:val="24"/>
          <w:szCs w:val="24"/>
        </w:rPr>
        <w:t xml:space="preserve"> considerare l’assunzione neutrale ai fini della finanza pubblica, ma </w:t>
      </w:r>
      <w:r w:rsidRPr="000F3904">
        <w:rPr>
          <w:sz w:val="24"/>
          <w:szCs w:val="24"/>
        </w:rPr>
        <w:t>dovranno effettuarle a valere sulle proprie facoltà assunzionali.</w:t>
      </w:r>
      <w:r w:rsidR="007868A0" w:rsidRPr="000F3904">
        <w:rPr>
          <w:sz w:val="24"/>
          <w:szCs w:val="24"/>
        </w:rPr>
        <w:t xml:space="preserve"> In p</w:t>
      </w:r>
      <w:r w:rsidR="0027727A">
        <w:rPr>
          <w:sz w:val="24"/>
          <w:szCs w:val="24"/>
        </w:rPr>
        <w:t xml:space="preserve">articolare la citata circolare </w:t>
      </w:r>
      <w:r w:rsidR="007868A0" w:rsidRPr="000F3904">
        <w:rPr>
          <w:sz w:val="24"/>
          <w:szCs w:val="24"/>
        </w:rPr>
        <w:t xml:space="preserve">chiarisce che: </w:t>
      </w:r>
      <w:r w:rsidR="007868A0" w:rsidRPr="000F3904">
        <w:rPr>
          <w:i/>
          <w:iCs/>
          <w:sz w:val="24"/>
          <w:szCs w:val="24"/>
        </w:rPr>
        <w:t>“(…)</w:t>
      </w:r>
      <w:r w:rsidR="00F17664">
        <w:rPr>
          <w:i/>
          <w:iCs/>
          <w:sz w:val="24"/>
          <w:szCs w:val="24"/>
        </w:rPr>
        <w:t xml:space="preserve"> </w:t>
      </w:r>
      <w:r w:rsidR="007868A0" w:rsidRPr="000F3904">
        <w:rPr>
          <w:i/>
          <w:iCs/>
          <w:sz w:val="24"/>
          <w:szCs w:val="24"/>
        </w:rPr>
        <w:t>le amministrazioni di altri comparti, nonché province e città metropolitane, che acquisiranno personale in mobilità da comuni assoggettati alla neo-introdotta normativa non potranno più considerare l’assunzione neutrale ai fini della finanza pubblica, ma dovranno effettuarla a valere sulle proprie facoltà assunzionali. Quanto precede al fine di assicurare la neutralità della procedura di mobilità a livello di finanza pubblica complessiva (…)</w:t>
      </w:r>
      <w:r w:rsidR="007868A0" w:rsidRPr="000F3904">
        <w:rPr>
          <w:sz w:val="24"/>
          <w:szCs w:val="24"/>
        </w:rPr>
        <w:t>”.</w:t>
      </w:r>
    </w:p>
    <w:p w:rsidR="00813E35" w:rsidRDefault="00813E35" w:rsidP="00570590">
      <w:pPr>
        <w:pStyle w:val="Corpotesto"/>
        <w:spacing w:line="360" w:lineRule="auto"/>
        <w:ind w:left="709" w:right="101"/>
        <w:jc w:val="both"/>
        <w:rPr>
          <w:sz w:val="24"/>
          <w:szCs w:val="24"/>
        </w:rPr>
      </w:pPr>
      <w:r w:rsidRPr="005E6F7E">
        <w:rPr>
          <w:sz w:val="24"/>
          <w:szCs w:val="24"/>
        </w:rPr>
        <w:lastRenderedPageBreak/>
        <w:t xml:space="preserve">Inoltre, </w:t>
      </w:r>
      <w:r w:rsidRPr="00181554">
        <w:rPr>
          <w:sz w:val="24"/>
          <w:szCs w:val="24"/>
        </w:rPr>
        <w:t>con riferimento al solo anno 2020</w:t>
      </w:r>
      <w:r w:rsidR="00364BB5" w:rsidRPr="005E6F7E">
        <w:rPr>
          <w:sz w:val="24"/>
          <w:szCs w:val="24"/>
        </w:rPr>
        <w:t xml:space="preserve"> sono fatte salve le procedure</w:t>
      </w:r>
      <w:r w:rsidRPr="005E6F7E">
        <w:rPr>
          <w:sz w:val="24"/>
          <w:szCs w:val="24"/>
        </w:rPr>
        <w:t xml:space="preserve"> assunzionali avviate con il previgente regime, anche con riguardo a </w:t>
      </w:r>
      <w:r w:rsidRPr="0027727A">
        <w:rPr>
          <w:i/>
          <w:sz w:val="24"/>
          <w:szCs w:val="24"/>
        </w:rPr>
        <w:t>budgets</w:t>
      </w:r>
      <w:r w:rsidRPr="005E6F7E">
        <w:rPr>
          <w:sz w:val="24"/>
          <w:szCs w:val="24"/>
        </w:rPr>
        <w:t xml:space="preserve"> relativi ad anni precedenti purché siano state effettuate </w:t>
      </w:r>
      <w:r w:rsidRPr="00181554">
        <w:rPr>
          <w:sz w:val="24"/>
          <w:szCs w:val="24"/>
        </w:rPr>
        <w:t>entro il 20 aprile</w:t>
      </w:r>
      <w:r w:rsidRPr="005E6F7E">
        <w:rPr>
          <w:sz w:val="24"/>
          <w:szCs w:val="24"/>
        </w:rPr>
        <w:t xml:space="preserve"> le comunicazioni obbligatorie ex art. 34-bis della legge n. 165/2001, e solo ove siano state operate le relative prenotazioni nelle scritture contabili (principio contabile 5.1 di cui al paragrafo </w:t>
      </w:r>
      <w:r w:rsidRPr="005E6F7E">
        <w:rPr>
          <w:spacing w:val="-3"/>
          <w:sz w:val="24"/>
          <w:szCs w:val="24"/>
        </w:rPr>
        <w:t xml:space="preserve">n. </w:t>
      </w:r>
      <w:r w:rsidRPr="005E6F7E">
        <w:rPr>
          <w:sz w:val="24"/>
          <w:szCs w:val="24"/>
        </w:rPr>
        <w:t>1 dell'allegato 4.2 al decreto legislativo n.</w:t>
      </w:r>
      <w:r w:rsidRPr="005E6F7E">
        <w:rPr>
          <w:spacing w:val="7"/>
          <w:sz w:val="24"/>
          <w:szCs w:val="24"/>
        </w:rPr>
        <w:t xml:space="preserve"> </w:t>
      </w:r>
      <w:r w:rsidRPr="005E6F7E">
        <w:rPr>
          <w:sz w:val="24"/>
          <w:szCs w:val="24"/>
        </w:rPr>
        <w:t>118/2011).</w:t>
      </w:r>
      <w:r w:rsidR="003A3D9F">
        <w:rPr>
          <w:sz w:val="24"/>
          <w:szCs w:val="24"/>
        </w:rPr>
        <w:t xml:space="preserve"> </w:t>
      </w:r>
      <w:r w:rsidRPr="005E6F7E">
        <w:rPr>
          <w:sz w:val="24"/>
          <w:szCs w:val="24"/>
        </w:rPr>
        <w:t>In tale caso continua ad applicarsi transitoriamente la previgente normativ</w:t>
      </w:r>
      <w:r w:rsidR="00930E4F">
        <w:rPr>
          <w:sz w:val="24"/>
          <w:szCs w:val="24"/>
        </w:rPr>
        <w:t>a</w:t>
      </w:r>
      <w:r w:rsidRPr="005E6F7E">
        <w:rPr>
          <w:sz w:val="24"/>
          <w:szCs w:val="24"/>
        </w:rPr>
        <w:t xml:space="preserve"> basata sul </w:t>
      </w:r>
      <w:r w:rsidRPr="00B96FD9">
        <w:rPr>
          <w:i/>
          <w:sz w:val="24"/>
          <w:szCs w:val="24"/>
        </w:rPr>
        <w:t>turn over</w:t>
      </w:r>
      <w:r w:rsidRPr="005E6F7E">
        <w:rPr>
          <w:sz w:val="24"/>
          <w:szCs w:val="24"/>
        </w:rPr>
        <w:t xml:space="preserve"> e le amministrazioni che acquisi</w:t>
      </w:r>
      <w:r w:rsidR="003A3D9F">
        <w:rPr>
          <w:sz w:val="24"/>
          <w:szCs w:val="24"/>
        </w:rPr>
        <w:t>scono</w:t>
      </w:r>
      <w:r w:rsidRPr="005E6F7E">
        <w:rPr>
          <w:sz w:val="24"/>
          <w:szCs w:val="24"/>
        </w:rPr>
        <w:t xml:space="preserve"> personale </w:t>
      </w:r>
      <w:r w:rsidRPr="005E6F7E">
        <w:rPr>
          <w:spacing w:val="-3"/>
          <w:sz w:val="24"/>
          <w:szCs w:val="24"/>
        </w:rPr>
        <w:t xml:space="preserve">in </w:t>
      </w:r>
      <w:r w:rsidRPr="005E6F7E">
        <w:rPr>
          <w:sz w:val="24"/>
          <w:szCs w:val="24"/>
        </w:rPr>
        <w:t>mobilità da tali enti po</w:t>
      </w:r>
      <w:r w:rsidR="003A3D9F">
        <w:rPr>
          <w:sz w:val="24"/>
          <w:szCs w:val="24"/>
        </w:rPr>
        <w:t>ssono</w:t>
      </w:r>
      <w:r w:rsidRPr="005E6F7E">
        <w:rPr>
          <w:sz w:val="24"/>
          <w:szCs w:val="24"/>
        </w:rPr>
        <w:t xml:space="preserve"> considerare</w:t>
      </w:r>
      <w:r w:rsidR="0027727A">
        <w:rPr>
          <w:sz w:val="24"/>
          <w:szCs w:val="24"/>
        </w:rPr>
        <w:t xml:space="preserve">, </w:t>
      </w:r>
      <w:r w:rsidRPr="005E6F7E">
        <w:rPr>
          <w:sz w:val="24"/>
          <w:szCs w:val="24"/>
        </w:rPr>
        <w:t>in via trans</w:t>
      </w:r>
      <w:r w:rsidR="003D3D6B" w:rsidRPr="005E6F7E">
        <w:rPr>
          <w:sz w:val="24"/>
          <w:szCs w:val="24"/>
        </w:rPr>
        <w:t>itoria</w:t>
      </w:r>
      <w:r w:rsidR="0027727A">
        <w:rPr>
          <w:sz w:val="24"/>
          <w:szCs w:val="24"/>
        </w:rPr>
        <w:t xml:space="preserve">, </w:t>
      </w:r>
      <w:r w:rsidRPr="005E6F7E">
        <w:rPr>
          <w:sz w:val="24"/>
          <w:szCs w:val="24"/>
        </w:rPr>
        <w:t>l’assunzione neutrale ai fini della finanza</w:t>
      </w:r>
      <w:r w:rsidRPr="005E6F7E">
        <w:rPr>
          <w:spacing w:val="2"/>
          <w:sz w:val="24"/>
          <w:szCs w:val="24"/>
        </w:rPr>
        <w:t xml:space="preserve"> </w:t>
      </w:r>
      <w:r w:rsidRPr="005E6F7E">
        <w:rPr>
          <w:sz w:val="24"/>
          <w:szCs w:val="24"/>
        </w:rPr>
        <w:t>pubblica.</w:t>
      </w:r>
    </w:p>
    <w:p w:rsidR="00DD1E39" w:rsidRPr="005E6F7E" w:rsidRDefault="00DD1E39" w:rsidP="0007236A">
      <w:pPr>
        <w:pStyle w:val="Corpotesto"/>
        <w:ind w:right="101"/>
        <w:jc w:val="both"/>
        <w:rPr>
          <w:i/>
        </w:rPr>
      </w:pPr>
    </w:p>
    <w:p w:rsidR="00DD1E39" w:rsidRPr="005E6F7E" w:rsidRDefault="00DD1E39" w:rsidP="004A1780">
      <w:pPr>
        <w:pStyle w:val="Corpotesto"/>
        <w:numPr>
          <w:ilvl w:val="0"/>
          <w:numId w:val="18"/>
        </w:numPr>
        <w:ind w:right="101"/>
        <w:jc w:val="both"/>
        <w:rPr>
          <w:b/>
          <w:sz w:val="24"/>
          <w:szCs w:val="24"/>
        </w:rPr>
      </w:pPr>
      <w:r w:rsidRPr="005E6F7E">
        <w:rPr>
          <w:b/>
          <w:sz w:val="24"/>
          <w:szCs w:val="24"/>
        </w:rPr>
        <w:t>Regioni e province autonome</w:t>
      </w:r>
      <w:r w:rsidR="004A1780" w:rsidRPr="005E6F7E">
        <w:rPr>
          <w:b/>
          <w:sz w:val="24"/>
          <w:szCs w:val="24"/>
        </w:rPr>
        <w:t>.</w:t>
      </w:r>
      <w:r w:rsidRPr="005E6F7E">
        <w:rPr>
          <w:b/>
          <w:sz w:val="24"/>
          <w:szCs w:val="24"/>
        </w:rPr>
        <w:t xml:space="preserve"> </w:t>
      </w:r>
    </w:p>
    <w:p w:rsidR="001F2209" w:rsidRPr="005E6F7E" w:rsidRDefault="00DD1E39" w:rsidP="00DD1E39">
      <w:pPr>
        <w:spacing w:line="360" w:lineRule="auto"/>
        <w:jc w:val="both"/>
        <w:rPr>
          <w:sz w:val="24"/>
          <w:szCs w:val="24"/>
        </w:rPr>
      </w:pPr>
      <w:r w:rsidRPr="005E6F7E">
        <w:rPr>
          <w:sz w:val="24"/>
          <w:szCs w:val="24"/>
        </w:rPr>
        <w:t xml:space="preserve">Le </w:t>
      </w:r>
      <w:r w:rsidR="001F2209" w:rsidRPr="005E6F7E">
        <w:rPr>
          <w:sz w:val="24"/>
          <w:szCs w:val="24"/>
        </w:rPr>
        <w:t>Regioni e le Province autonome</w:t>
      </w:r>
      <w:r w:rsidR="00CA1C44">
        <w:rPr>
          <w:sz w:val="24"/>
          <w:szCs w:val="24"/>
        </w:rPr>
        <w:t xml:space="preserve"> </w:t>
      </w:r>
      <w:r w:rsidR="001F2209" w:rsidRPr="005E6F7E">
        <w:rPr>
          <w:sz w:val="24"/>
          <w:szCs w:val="24"/>
        </w:rPr>
        <w:t xml:space="preserve">pur non </w:t>
      </w:r>
      <w:r w:rsidR="004050B5" w:rsidRPr="005E6F7E">
        <w:rPr>
          <w:sz w:val="24"/>
          <w:szCs w:val="24"/>
        </w:rPr>
        <w:t xml:space="preserve">essendo </w:t>
      </w:r>
      <w:r w:rsidR="001F2209" w:rsidRPr="005E6F7E">
        <w:rPr>
          <w:sz w:val="24"/>
          <w:szCs w:val="24"/>
        </w:rPr>
        <w:t xml:space="preserve">soggette alle disposizioni in materia di </w:t>
      </w:r>
      <w:r w:rsidR="001F2209" w:rsidRPr="00936931">
        <w:rPr>
          <w:sz w:val="24"/>
          <w:szCs w:val="24"/>
        </w:rPr>
        <w:t>facoltà assunz</w:t>
      </w:r>
      <w:r w:rsidR="00181554" w:rsidRPr="00936931">
        <w:rPr>
          <w:sz w:val="24"/>
          <w:szCs w:val="24"/>
        </w:rPr>
        <w:t>i</w:t>
      </w:r>
      <w:r w:rsidR="001F2209" w:rsidRPr="00936931">
        <w:rPr>
          <w:sz w:val="24"/>
          <w:szCs w:val="24"/>
        </w:rPr>
        <w:t xml:space="preserve">onali previste </w:t>
      </w:r>
      <w:r w:rsidR="001F2209" w:rsidRPr="005E6F7E">
        <w:rPr>
          <w:sz w:val="24"/>
          <w:szCs w:val="24"/>
        </w:rPr>
        <w:t>dall</w:t>
      </w:r>
      <w:r w:rsidR="00181554">
        <w:rPr>
          <w:sz w:val="24"/>
          <w:szCs w:val="24"/>
        </w:rPr>
        <w:t>’articolo 33, comma 1, del decr</w:t>
      </w:r>
      <w:r w:rsidR="001F2209" w:rsidRPr="005E6F7E">
        <w:rPr>
          <w:sz w:val="24"/>
          <w:szCs w:val="24"/>
        </w:rPr>
        <w:t>eto legge 30 aprile 2019, n. 34, convertito, con modificazioni, dalla legge 28 giugno 2019, n. 58</w:t>
      </w:r>
      <w:r w:rsidR="000D5FFA">
        <w:rPr>
          <w:sz w:val="24"/>
          <w:szCs w:val="24"/>
        </w:rPr>
        <w:t>,</w:t>
      </w:r>
      <w:r w:rsidR="004050B5" w:rsidRPr="005E6F7E">
        <w:rPr>
          <w:sz w:val="24"/>
          <w:szCs w:val="24"/>
        </w:rPr>
        <w:t xml:space="preserve"> </w:t>
      </w:r>
      <w:r w:rsidR="001F2209" w:rsidRPr="005E6F7E">
        <w:rPr>
          <w:sz w:val="24"/>
          <w:szCs w:val="24"/>
        </w:rPr>
        <w:t>adottano proprie specifiche normative in virtù della autonomia statutaria di natura costituzionale e, pertanto, non rientrano nell’ambito delle amministrazioni pubbliche sog</w:t>
      </w:r>
      <w:r w:rsidR="004050B5" w:rsidRPr="005E6F7E">
        <w:rPr>
          <w:sz w:val="24"/>
          <w:szCs w:val="24"/>
        </w:rPr>
        <w:t>gette a pre-definiti vincoli assunzionali.</w:t>
      </w:r>
    </w:p>
    <w:p w:rsidR="004050B5" w:rsidRPr="005E6F7E" w:rsidRDefault="004050B5" w:rsidP="004050B5">
      <w:pPr>
        <w:pStyle w:val="Corpotesto"/>
        <w:spacing w:after="0" w:line="360" w:lineRule="auto"/>
        <w:ind w:right="102"/>
        <w:jc w:val="both"/>
        <w:rPr>
          <w:sz w:val="24"/>
          <w:szCs w:val="24"/>
        </w:rPr>
      </w:pPr>
      <w:r w:rsidRPr="005E6F7E">
        <w:rPr>
          <w:sz w:val="24"/>
          <w:szCs w:val="24"/>
        </w:rPr>
        <w:t xml:space="preserve">Ciò posto, </w:t>
      </w:r>
      <w:r w:rsidRPr="005E6F7E">
        <w:rPr>
          <w:spacing w:val="-5"/>
          <w:sz w:val="24"/>
          <w:szCs w:val="24"/>
        </w:rPr>
        <w:t xml:space="preserve">le </w:t>
      </w:r>
      <w:r w:rsidRPr="005E6F7E">
        <w:rPr>
          <w:sz w:val="24"/>
          <w:szCs w:val="24"/>
        </w:rPr>
        <w:t>amministrazioni che intend</w:t>
      </w:r>
      <w:r w:rsidR="00CA1C44">
        <w:rPr>
          <w:sz w:val="24"/>
          <w:szCs w:val="24"/>
        </w:rPr>
        <w:t>o</w:t>
      </w:r>
      <w:r w:rsidRPr="005E6F7E">
        <w:rPr>
          <w:sz w:val="24"/>
          <w:szCs w:val="24"/>
        </w:rPr>
        <w:t xml:space="preserve">no acquisire personale </w:t>
      </w:r>
      <w:r w:rsidRPr="005E6F7E">
        <w:rPr>
          <w:spacing w:val="-3"/>
          <w:sz w:val="24"/>
          <w:szCs w:val="24"/>
        </w:rPr>
        <w:t xml:space="preserve">in </w:t>
      </w:r>
      <w:r w:rsidRPr="005E6F7E">
        <w:rPr>
          <w:sz w:val="24"/>
          <w:szCs w:val="24"/>
        </w:rPr>
        <w:t>mobilità proveniente dai ruoli delle Regioni e delle Province autonome d</w:t>
      </w:r>
      <w:r w:rsidR="00CA1C44">
        <w:rPr>
          <w:sz w:val="24"/>
          <w:szCs w:val="24"/>
        </w:rPr>
        <w:t>evono</w:t>
      </w:r>
      <w:r w:rsidRPr="005E6F7E">
        <w:rPr>
          <w:sz w:val="24"/>
          <w:szCs w:val="24"/>
        </w:rPr>
        <w:t xml:space="preserve"> preventivam</w:t>
      </w:r>
      <w:r w:rsidR="004A1780" w:rsidRPr="005E6F7E">
        <w:rPr>
          <w:sz w:val="24"/>
          <w:szCs w:val="24"/>
        </w:rPr>
        <w:t>ente</w:t>
      </w:r>
      <w:r w:rsidRPr="005E6F7E">
        <w:rPr>
          <w:sz w:val="24"/>
          <w:szCs w:val="24"/>
        </w:rPr>
        <w:t xml:space="preserve"> verificare la rispettiva normativa </w:t>
      </w:r>
      <w:r w:rsidR="004A1780" w:rsidRPr="005E6F7E">
        <w:rPr>
          <w:sz w:val="24"/>
          <w:szCs w:val="24"/>
        </w:rPr>
        <w:t xml:space="preserve">di derivazione non statale </w:t>
      </w:r>
      <w:r w:rsidRPr="005E6F7E">
        <w:rPr>
          <w:sz w:val="24"/>
          <w:szCs w:val="24"/>
        </w:rPr>
        <w:t>pro-tempore applicabile</w:t>
      </w:r>
      <w:r w:rsidR="004A1780" w:rsidRPr="005E6F7E">
        <w:rPr>
          <w:sz w:val="24"/>
          <w:szCs w:val="24"/>
        </w:rPr>
        <w:t xml:space="preserve">, al fine di </w:t>
      </w:r>
      <w:r w:rsidR="00CA1C44">
        <w:rPr>
          <w:sz w:val="24"/>
          <w:szCs w:val="24"/>
        </w:rPr>
        <w:t>valutare la neutralità o meno</w:t>
      </w:r>
      <w:r w:rsidR="00CA1C44" w:rsidRPr="005E6F7E">
        <w:rPr>
          <w:sz w:val="24"/>
          <w:szCs w:val="24"/>
        </w:rPr>
        <w:t xml:space="preserve"> </w:t>
      </w:r>
      <w:r w:rsidR="000D5FFA">
        <w:rPr>
          <w:sz w:val="24"/>
          <w:szCs w:val="24"/>
        </w:rPr>
        <w:t xml:space="preserve">di </w:t>
      </w:r>
      <w:r w:rsidR="004A1780" w:rsidRPr="005E6F7E">
        <w:rPr>
          <w:sz w:val="24"/>
          <w:szCs w:val="24"/>
        </w:rPr>
        <w:t xml:space="preserve">tali </w:t>
      </w:r>
      <w:r w:rsidRPr="005E6F7E">
        <w:rPr>
          <w:sz w:val="24"/>
          <w:szCs w:val="24"/>
        </w:rPr>
        <w:t>assunzion</w:t>
      </w:r>
      <w:r w:rsidR="004A1780" w:rsidRPr="005E6F7E">
        <w:rPr>
          <w:sz w:val="24"/>
          <w:szCs w:val="24"/>
        </w:rPr>
        <w:t>i</w:t>
      </w:r>
      <w:r w:rsidRPr="005E6F7E">
        <w:rPr>
          <w:sz w:val="24"/>
          <w:szCs w:val="24"/>
        </w:rPr>
        <w:t xml:space="preserve"> ai fini della finanza</w:t>
      </w:r>
      <w:r w:rsidRPr="005E6F7E">
        <w:rPr>
          <w:spacing w:val="2"/>
          <w:sz w:val="24"/>
          <w:szCs w:val="24"/>
        </w:rPr>
        <w:t xml:space="preserve"> </w:t>
      </w:r>
      <w:r w:rsidRPr="005E6F7E">
        <w:rPr>
          <w:sz w:val="24"/>
          <w:szCs w:val="24"/>
        </w:rPr>
        <w:t>pubblica.</w:t>
      </w:r>
    </w:p>
    <w:p w:rsidR="004050B5" w:rsidRPr="005E6F7E" w:rsidRDefault="004050B5" w:rsidP="00DD1E39">
      <w:pPr>
        <w:spacing w:line="360" w:lineRule="auto"/>
        <w:jc w:val="both"/>
        <w:rPr>
          <w:sz w:val="24"/>
          <w:szCs w:val="24"/>
        </w:rPr>
      </w:pPr>
    </w:p>
    <w:p w:rsidR="006B3D4F" w:rsidRPr="005E6F7E" w:rsidRDefault="006B3D4F" w:rsidP="003D3D6B">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638"/>
        <w:rPr>
          <w:b/>
          <w:sz w:val="24"/>
          <w:szCs w:val="24"/>
        </w:rPr>
      </w:pPr>
      <w:r w:rsidRPr="005E6F7E">
        <w:rPr>
          <w:b/>
          <w:sz w:val="24"/>
          <w:szCs w:val="24"/>
        </w:rPr>
        <w:t>Segretari comunali e provinciali</w:t>
      </w:r>
      <w:r w:rsidR="00845E81" w:rsidRPr="005E6F7E">
        <w:rPr>
          <w:b/>
          <w:sz w:val="24"/>
          <w:szCs w:val="24"/>
        </w:rPr>
        <w:t>.</w:t>
      </w:r>
    </w:p>
    <w:p w:rsidR="003D3D6B" w:rsidRPr="005E6F7E" w:rsidRDefault="003D3D6B" w:rsidP="003D3D6B">
      <w:pPr>
        <w:pStyle w:val="Corpotesto"/>
        <w:spacing w:after="0" w:line="360" w:lineRule="auto"/>
        <w:ind w:right="85"/>
        <w:jc w:val="both"/>
        <w:rPr>
          <w:sz w:val="24"/>
          <w:szCs w:val="24"/>
        </w:rPr>
      </w:pPr>
      <w:r w:rsidRPr="005E6F7E">
        <w:rPr>
          <w:sz w:val="24"/>
          <w:szCs w:val="24"/>
        </w:rPr>
        <w:t>Le facoltà assunzionali re</w:t>
      </w:r>
      <w:r w:rsidR="00364BB5" w:rsidRPr="005E6F7E">
        <w:rPr>
          <w:sz w:val="24"/>
          <w:szCs w:val="24"/>
        </w:rPr>
        <w:t>lative</w:t>
      </w:r>
      <w:r w:rsidRPr="005E6F7E">
        <w:rPr>
          <w:sz w:val="24"/>
          <w:szCs w:val="24"/>
        </w:rPr>
        <w:t xml:space="preserve"> ai segretari comunali e provinciali sono disciplinate dall’articolo 14, comma 6, del decreto legge 6 luglio 2012</w:t>
      </w:r>
      <w:r w:rsidR="00364BB5" w:rsidRPr="005E6F7E">
        <w:rPr>
          <w:sz w:val="24"/>
          <w:szCs w:val="24"/>
        </w:rPr>
        <w:t>,</w:t>
      </w:r>
      <w:r w:rsidRPr="005E6F7E">
        <w:rPr>
          <w:sz w:val="24"/>
          <w:szCs w:val="24"/>
        </w:rPr>
        <w:t xml:space="preserve"> n. 95, convertito, con modificazioni, dalla legge 7 agosto 2012, n. 135, che prevede che a decorrere dall’anno 2012 le assunzioni di tale personale sono consentite per un numero di unità non superiore all'80 per cento di quelle cessate dal servizio nel corso dell'anno precedente. </w:t>
      </w:r>
    </w:p>
    <w:p w:rsidR="003D3D6B" w:rsidRPr="005E6F7E" w:rsidRDefault="003D3D6B" w:rsidP="00FA6675">
      <w:pPr>
        <w:pStyle w:val="Corpotesto"/>
        <w:spacing w:after="0" w:line="360" w:lineRule="auto"/>
        <w:ind w:right="-57"/>
        <w:jc w:val="both"/>
        <w:rPr>
          <w:sz w:val="24"/>
          <w:szCs w:val="24"/>
        </w:rPr>
      </w:pPr>
      <w:r w:rsidRPr="005E6F7E">
        <w:rPr>
          <w:sz w:val="24"/>
          <w:szCs w:val="24"/>
        </w:rPr>
        <w:t>Pertanto, trattandosi di disciplina li</w:t>
      </w:r>
      <w:r w:rsidR="00364BB5" w:rsidRPr="005E6F7E">
        <w:rPr>
          <w:sz w:val="24"/>
          <w:szCs w:val="24"/>
        </w:rPr>
        <w:t>m</w:t>
      </w:r>
      <w:r w:rsidRPr="005E6F7E">
        <w:rPr>
          <w:sz w:val="24"/>
          <w:szCs w:val="24"/>
        </w:rPr>
        <w:t xml:space="preserve">itativa basata sul criterio del </w:t>
      </w:r>
      <w:r w:rsidRPr="005E6F7E">
        <w:rPr>
          <w:i/>
          <w:sz w:val="24"/>
          <w:szCs w:val="24"/>
        </w:rPr>
        <w:t>turn over</w:t>
      </w:r>
      <w:r w:rsidRPr="005E6F7E">
        <w:rPr>
          <w:sz w:val="24"/>
          <w:szCs w:val="24"/>
        </w:rPr>
        <w:t>, le amministrazioni che acquisiranno in mobilità segretari comun</w:t>
      </w:r>
      <w:r w:rsidR="00845E81" w:rsidRPr="005E6F7E">
        <w:rPr>
          <w:sz w:val="24"/>
          <w:szCs w:val="24"/>
        </w:rPr>
        <w:t>ali</w:t>
      </w:r>
      <w:r w:rsidRPr="005E6F7E">
        <w:rPr>
          <w:sz w:val="24"/>
          <w:szCs w:val="24"/>
        </w:rPr>
        <w:t xml:space="preserve"> e provinciali potranno considerare </w:t>
      </w:r>
      <w:r w:rsidR="00845E81" w:rsidRPr="005E6F7E">
        <w:rPr>
          <w:sz w:val="24"/>
          <w:szCs w:val="24"/>
        </w:rPr>
        <w:t xml:space="preserve">tali </w:t>
      </w:r>
      <w:r w:rsidRPr="005E6F7E">
        <w:rPr>
          <w:sz w:val="24"/>
          <w:szCs w:val="24"/>
        </w:rPr>
        <w:t>assunzion</w:t>
      </w:r>
      <w:r w:rsidR="00845E81" w:rsidRPr="005E6F7E">
        <w:rPr>
          <w:sz w:val="24"/>
          <w:szCs w:val="24"/>
        </w:rPr>
        <w:t>i</w:t>
      </w:r>
      <w:r w:rsidRPr="005E6F7E">
        <w:rPr>
          <w:sz w:val="24"/>
          <w:szCs w:val="24"/>
        </w:rPr>
        <w:t xml:space="preserve"> neutral</w:t>
      </w:r>
      <w:r w:rsidR="00845E81" w:rsidRPr="005E6F7E">
        <w:rPr>
          <w:sz w:val="24"/>
          <w:szCs w:val="24"/>
        </w:rPr>
        <w:t>i</w:t>
      </w:r>
      <w:r w:rsidRPr="005E6F7E">
        <w:rPr>
          <w:sz w:val="24"/>
          <w:szCs w:val="24"/>
        </w:rPr>
        <w:t xml:space="preserve"> ai fini della finanza</w:t>
      </w:r>
      <w:r w:rsidRPr="005E6F7E">
        <w:rPr>
          <w:spacing w:val="2"/>
          <w:sz w:val="24"/>
          <w:szCs w:val="24"/>
        </w:rPr>
        <w:t xml:space="preserve"> </w:t>
      </w:r>
      <w:r w:rsidRPr="005E6F7E">
        <w:rPr>
          <w:sz w:val="24"/>
          <w:szCs w:val="24"/>
        </w:rPr>
        <w:t>pubblica.</w:t>
      </w:r>
    </w:p>
    <w:p w:rsidR="00570590" w:rsidRDefault="00570590" w:rsidP="00570590">
      <w:pPr>
        <w:pStyle w:val="Paragrafoelenco"/>
        <w:spacing w:line="360" w:lineRule="auto"/>
        <w:ind w:right="-57"/>
        <w:jc w:val="both"/>
        <w:rPr>
          <w:b/>
          <w:bCs/>
          <w:sz w:val="24"/>
          <w:szCs w:val="24"/>
        </w:rPr>
      </w:pPr>
    </w:p>
    <w:p w:rsidR="009B7965" w:rsidRPr="005E6F7E" w:rsidRDefault="009B7965" w:rsidP="00FA6675">
      <w:pPr>
        <w:pStyle w:val="Paragrafoelenco"/>
        <w:numPr>
          <w:ilvl w:val="0"/>
          <w:numId w:val="16"/>
        </w:numPr>
        <w:spacing w:line="360" w:lineRule="auto"/>
        <w:ind w:right="-57"/>
        <w:jc w:val="both"/>
        <w:rPr>
          <w:b/>
          <w:bCs/>
          <w:sz w:val="24"/>
          <w:szCs w:val="24"/>
        </w:rPr>
      </w:pPr>
      <w:r w:rsidRPr="005E6F7E">
        <w:rPr>
          <w:b/>
          <w:bCs/>
          <w:sz w:val="24"/>
          <w:szCs w:val="24"/>
        </w:rPr>
        <w:t>Università</w:t>
      </w:r>
      <w:r w:rsidR="00930E4F">
        <w:rPr>
          <w:b/>
          <w:bCs/>
          <w:sz w:val="24"/>
          <w:szCs w:val="24"/>
        </w:rPr>
        <w:t>.</w:t>
      </w:r>
    </w:p>
    <w:p w:rsidR="009B7965" w:rsidRPr="005E6F7E" w:rsidRDefault="009B7965" w:rsidP="00FA6675">
      <w:pPr>
        <w:spacing w:line="360" w:lineRule="auto"/>
        <w:ind w:right="-57"/>
        <w:jc w:val="both"/>
        <w:rPr>
          <w:sz w:val="24"/>
          <w:szCs w:val="24"/>
        </w:rPr>
      </w:pPr>
      <w:r w:rsidRPr="005E6F7E">
        <w:rPr>
          <w:sz w:val="24"/>
          <w:szCs w:val="24"/>
        </w:rPr>
        <w:t xml:space="preserve">A decorrere dall'anno 2018, le facoltà assunzionali del sistema delle Università Statali sono pari al 100 per cento della spesa relativa al personale cessato dal servizio nell'anno precedente, come </w:t>
      </w:r>
      <w:r w:rsidRPr="005E6F7E">
        <w:rPr>
          <w:sz w:val="24"/>
          <w:szCs w:val="24"/>
        </w:rPr>
        <w:lastRenderedPageBreak/>
        <w:t>previsto dall'articolo 66, comma 13-</w:t>
      </w:r>
      <w:r w:rsidRPr="00930E4F">
        <w:rPr>
          <w:i/>
          <w:sz w:val="24"/>
          <w:szCs w:val="24"/>
        </w:rPr>
        <w:t>bis,</w:t>
      </w:r>
      <w:r w:rsidRPr="005E6F7E">
        <w:rPr>
          <w:sz w:val="24"/>
          <w:szCs w:val="24"/>
        </w:rPr>
        <w:t xml:space="preserve"> del decreto legge 25 giugno 2008, n. 112, convertito, con modificazioni</w:t>
      </w:r>
      <w:r w:rsidR="00930E4F">
        <w:rPr>
          <w:sz w:val="24"/>
          <w:szCs w:val="24"/>
        </w:rPr>
        <w:t>,</w:t>
      </w:r>
      <w:r w:rsidRPr="005E6F7E">
        <w:rPr>
          <w:sz w:val="24"/>
          <w:szCs w:val="24"/>
        </w:rPr>
        <w:t xml:space="preserve"> dalla legge 6 agosto 2008, n. 133.  </w:t>
      </w:r>
    </w:p>
    <w:p w:rsidR="009B7965" w:rsidRPr="005E6F7E" w:rsidRDefault="009B7965" w:rsidP="00FA6675">
      <w:pPr>
        <w:spacing w:line="360" w:lineRule="auto"/>
        <w:ind w:right="-57"/>
        <w:jc w:val="both"/>
        <w:rPr>
          <w:sz w:val="24"/>
          <w:szCs w:val="24"/>
        </w:rPr>
      </w:pPr>
      <w:r w:rsidRPr="005E6F7E">
        <w:rPr>
          <w:sz w:val="24"/>
          <w:szCs w:val="24"/>
        </w:rPr>
        <w:t xml:space="preserve">Il budget assunzionale, ferma restando la percentuale di turn-over nazionale, viene attribuito ai singoli Atenei con decreto del Ministro dell'università e della ricerca, sulla base degli indicatori di sostenibilità economico-finanziaria e della spesa di personale, tenuto conto dei criteri previsti dall'articolo 7 del decreto legislativo 29 marzo 2012, n. 49, e dai successivi decreti del Presidente del Consiglio dei Ministri di modifica.  </w:t>
      </w:r>
    </w:p>
    <w:p w:rsidR="00090B3A" w:rsidRPr="005E6F7E" w:rsidRDefault="00090B3A" w:rsidP="00090B3A">
      <w:pPr>
        <w:pStyle w:val="Corpotesto"/>
        <w:spacing w:after="0" w:line="360" w:lineRule="auto"/>
        <w:ind w:right="102"/>
        <w:jc w:val="both"/>
        <w:rPr>
          <w:sz w:val="24"/>
          <w:szCs w:val="24"/>
        </w:rPr>
      </w:pPr>
      <w:r w:rsidRPr="005E6F7E">
        <w:rPr>
          <w:sz w:val="24"/>
          <w:szCs w:val="24"/>
        </w:rPr>
        <w:t>Pertanto, trattandosi di disciplina li</w:t>
      </w:r>
      <w:r w:rsidR="0075009B" w:rsidRPr="005E6F7E">
        <w:rPr>
          <w:sz w:val="24"/>
          <w:szCs w:val="24"/>
        </w:rPr>
        <w:t>m</w:t>
      </w:r>
      <w:r w:rsidRPr="005E6F7E">
        <w:rPr>
          <w:sz w:val="24"/>
          <w:szCs w:val="24"/>
        </w:rPr>
        <w:t xml:space="preserve">itativa basata sul criterio del </w:t>
      </w:r>
      <w:r w:rsidRPr="005E6F7E">
        <w:rPr>
          <w:i/>
          <w:sz w:val="24"/>
          <w:szCs w:val="24"/>
        </w:rPr>
        <w:t>turn over</w:t>
      </w:r>
      <w:r w:rsidRPr="005E6F7E">
        <w:rPr>
          <w:sz w:val="24"/>
          <w:szCs w:val="24"/>
        </w:rPr>
        <w:t xml:space="preserve">, le amministrazioni che acquisiranno </w:t>
      </w:r>
      <w:r w:rsidR="00F01888" w:rsidRPr="005E6F7E">
        <w:rPr>
          <w:sz w:val="24"/>
          <w:szCs w:val="24"/>
        </w:rPr>
        <w:t xml:space="preserve">personale </w:t>
      </w:r>
      <w:r w:rsidRPr="005E6F7E">
        <w:rPr>
          <w:sz w:val="24"/>
          <w:szCs w:val="24"/>
        </w:rPr>
        <w:t xml:space="preserve">in mobilità </w:t>
      </w:r>
      <w:r w:rsidR="00E25D5E" w:rsidRPr="005E6F7E">
        <w:rPr>
          <w:sz w:val="24"/>
          <w:szCs w:val="24"/>
        </w:rPr>
        <w:t xml:space="preserve">dalle Università </w:t>
      </w:r>
      <w:r w:rsidR="003A7B12" w:rsidRPr="005E6F7E">
        <w:rPr>
          <w:sz w:val="24"/>
          <w:szCs w:val="24"/>
        </w:rPr>
        <w:t xml:space="preserve">Statali </w:t>
      </w:r>
      <w:r w:rsidRPr="005E6F7E">
        <w:rPr>
          <w:sz w:val="24"/>
          <w:szCs w:val="24"/>
        </w:rPr>
        <w:t>potranno considerare tali assunzioni neutrali ai fini della finanza</w:t>
      </w:r>
      <w:r w:rsidRPr="005E6F7E">
        <w:rPr>
          <w:spacing w:val="2"/>
          <w:sz w:val="24"/>
          <w:szCs w:val="24"/>
        </w:rPr>
        <w:t xml:space="preserve"> </w:t>
      </w:r>
      <w:r w:rsidRPr="005E6F7E">
        <w:rPr>
          <w:sz w:val="24"/>
          <w:szCs w:val="24"/>
        </w:rPr>
        <w:t>pubblica.</w:t>
      </w:r>
    </w:p>
    <w:p w:rsidR="003D3D6B" w:rsidRPr="005E6F7E" w:rsidRDefault="003D3D6B" w:rsidP="003D3D6B">
      <w:pPr>
        <w:pStyle w:val="Corpotesto"/>
        <w:spacing w:after="0" w:line="360" w:lineRule="auto"/>
        <w:ind w:right="85"/>
        <w:jc w:val="both"/>
        <w:rPr>
          <w:sz w:val="24"/>
          <w:szCs w:val="24"/>
        </w:rPr>
      </w:pPr>
    </w:p>
    <w:p w:rsidR="00F038AA" w:rsidRPr="005E6F7E" w:rsidRDefault="00380BF6" w:rsidP="00181554">
      <w:pPr>
        <w:pStyle w:val="Corpotesto"/>
        <w:spacing w:after="0" w:line="360" w:lineRule="auto"/>
        <w:ind w:right="85"/>
        <w:jc w:val="both"/>
        <w:rPr>
          <w:sz w:val="24"/>
          <w:szCs w:val="24"/>
        </w:rPr>
      </w:pPr>
      <w:r w:rsidRPr="005E6F7E">
        <w:rPr>
          <w:sz w:val="24"/>
          <w:szCs w:val="24"/>
        </w:rPr>
        <w:t xml:space="preserve">Infine, si fa presente che per quanto riguarda la regolamentazione, </w:t>
      </w:r>
      <w:r w:rsidR="00E03BC4" w:rsidRPr="005E6F7E">
        <w:rPr>
          <w:sz w:val="24"/>
          <w:szCs w:val="24"/>
        </w:rPr>
        <w:t xml:space="preserve">sia </w:t>
      </w:r>
      <w:r w:rsidRPr="005E6F7E">
        <w:rPr>
          <w:sz w:val="24"/>
          <w:szCs w:val="24"/>
        </w:rPr>
        <w:t xml:space="preserve">sotto l’aspetto dei riflessi finanziari </w:t>
      </w:r>
      <w:r w:rsidR="00E03BC4" w:rsidRPr="005E6F7E">
        <w:rPr>
          <w:sz w:val="24"/>
          <w:szCs w:val="24"/>
        </w:rPr>
        <w:t>sia</w:t>
      </w:r>
      <w:r w:rsidRPr="005E6F7E">
        <w:rPr>
          <w:sz w:val="24"/>
          <w:szCs w:val="24"/>
        </w:rPr>
        <w:t xml:space="preserve"> dell’incidenza sulle facoltà assunzionali</w:t>
      </w:r>
      <w:r w:rsidR="00F038AA" w:rsidRPr="005E6F7E">
        <w:rPr>
          <w:sz w:val="24"/>
          <w:szCs w:val="24"/>
        </w:rPr>
        <w:t>, nonch</w:t>
      </w:r>
      <w:r w:rsidR="00181554">
        <w:rPr>
          <w:sz w:val="24"/>
          <w:szCs w:val="24"/>
        </w:rPr>
        <w:t>é</w:t>
      </w:r>
      <w:r w:rsidRPr="005E6F7E">
        <w:rPr>
          <w:sz w:val="24"/>
          <w:szCs w:val="24"/>
        </w:rPr>
        <w:t xml:space="preserve"> sulla neutralità finanziaria delle procedure di mobilità, anche intercompartimentale, poste in essere da pubbliche amminist</w:t>
      </w:r>
      <w:r w:rsidR="00364BB5" w:rsidRPr="005E6F7E">
        <w:rPr>
          <w:sz w:val="24"/>
          <w:szCs w:val="24"/>
        </w:rPr>
        <w:t>razioni</w:t>
      </w:r>
      <w:r w:rsidR="00D30AF3">
        <w:rPr>
          <w:sz w:val="24"/>
          <w:szCs w:val="24"/>
        </w:rPr>
        <w:t xml:space="preserve"> appartenenti a </w:t>
      </w:r>
      <w:r w:rsidRPr="005E6F7E">
        <w:rPr>
          <w:sz w:val="24"/>
          <w:szCs w:val="24"/>
        </w:rPr>
        <w:t>comparti</w:t>
      </w:r>
      <w:r w:rsidR="00F055B4" w:rsidRPr="005E6F7E">
        <w:rPr>
          <w:sz w:val="24"/>
          <w:szCs w:val="24"/>
        </w:rPr>
        <w:t xml:space="preserve"> diversi da quello coincidente con le amministrazioni dello Stato</w:t>
      </w:r>
      <w:r w:rsidRPr="005E6F7E">
        <w:rPr>
          <w:sz w:val="24"/>
          <w:szCs w:val="24"/>
        </w:rPr>
        <w:t>, si fa rinvio alle specifiche discipline di settore</w:t>
      </w:r>
      <w:r w:rsidR="00D30AF3">
        <w:rPr>
          <w:sz w:val="24"/>
          <w:szCs w:val="24"/>
        </w:rPr>
        <w:t>.</w:t>
      </w:r>
    </w:p>
    <w:p w:rsidR="00F038AA" w:rsidRDefault="00F038AA" w:rsidP="00380BF6">
      <w:pPr>
        <w:pStyle w:val="Corpotesto"/>
        <w:spacing w:after="0" w:line="360" w:lineRule="auto"/>
        <w:ind w:right="85" w:firstLine="709"/>
        <w:jc w:val="both"/>
        <w:rPr>
          <w:sz w:val="24"/>
          <w:szCs w:val="24"/>
        </w:rPr>
      </w:pPr>
    </w:p>
    <w:p w:rsidR="00F038AA" w:rsidRPr="00F038AA" w:rsidRDefault="00F038AA" w:rsidP="00380BF6">
      <w:pPr>
        <w:pStyle w:val="Corpotesto"/>
        <w:spacing w:after="0" w:line="360" w:lineRule="auto"/>
        <w:ind w:right="85" w:firstLine="709"/>
        <w:jc w:val="both"/>
        <w:rPr>
          <w:sz w:val="24"/>
          <w:szCs w:val="24"/>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80BF6" w:rsidRDefault="00F038AA" w:rsidP="00380BF6">
      <w:pPr>
        <w:pStyle w:val="Corpotesto"/>
        <w:spacing w:after="0" w:line="360" w:lineRule="auto"/>
        <w:ind w:right="85" w:firstLine="709"/>
        <w:jc w:val="both"/>
        <w:rPr>
          <w:sz w:val="24"/>
          <w:szCs w:val="24"/>
        </w:rPr>
      </w:pPr>
      <w:r w:rsidRPr="00F038AA">
        <w:rPr>
          <w:sz w:val="24"/>
          <w:szCs w:val="24"/>
        </w:rPr>
        <w:tab/>
      </w:r>
      <w:r w:rsidRPr="00F038AA">
        <w:rPr>
          <w:sz w:val="24"/>
          <w:szCs w:val="24"/>
        </w:rPr>
        <w:tab/>
      </w:r>
      <w:r w:rsidRPr="00F038AA">
        <w:rPr>
          <w:sz w:val="24"/>
          <w:szCs w:val="24"/>
        </w:rPr>
        <w:tab/>
      </w:r>
      <w:r w:rsidRPr="00F038AA">
        <w:rPr>
          <w:sz w:val="24"/>
          <w:szCs w:val="24"/>
        </w:rPr>
        <w:tab/>
      </w:r>
      <w:r w:rsidRPr="00F038AA">
        <w:rPr>
          <w:sz w:val="24"/>
          <w:szCs w:val="24"/>
        </w:rPr>
        <w:tab/>
      </w:r>
      <w:r w:rsidR="00F17664">
        <w:rPr>
          <w:sz w:val="24"/>
          <w:szCs w:val="24"/>
        </w:rPr>
        <w:t xml:space="preserve">            </w:t>
      </w:r>
      <w:r w:rsidRPr="00F038AA">
        <w:rPr>
          <w:sz w:val="24"/>
          <w:szCs w:val="24"/>
        </w:rPr>
        <w:t xml:space="preserve"> </w:t>
      </w:r>
      <w:r w:rsidRPr="0027727A">
        <w:rPr>
          <w:sz w:val="24"/>
          <w:szCs w:val="24"/>
        </w:rPr>
        <w:t>Il Ragioniere Generale</w:t>
      </w:r>
      <w:r>
        <w:rPr>
          <w:sz w:val="24"/>
          <w:szCs w:val="24"/>
        </w:rPr>
        <w:t xml:space="preserve"> </w:t>
      </w:r>
      <w:r w:rsidR="00A44590">
        <w:rPr>
          <w:sz w:val="24"/>
          <w:szCs w:val="24"/>
        </w:rPr>
        <w:t>dello Stato</w:t>
      </w:r>
      <w:r w:rsidR="00380BF6">
        <w:rPr>
          <w:sz w:val="24"/>
          <w:szCs w:val="24"/>
        </w:rPr>
        <w:t xml:space="preserve">  </w:t>
      </w:r>
    </w:p>
    <w:p w:rsidR="00380BF6" w:rsidRDefault="00380BF6" w:rsidP="00380BF6">
      <w:pPr>
        <w:pStyle w:val="Corpotesto"/>
        <w:spacing w:after="0" w:line="360" w:lineRule="auto"/>
        <w:ind w:right="85" w:firstLine="709"/>
        <w:jc w:val="both"/>
        <w:rPr>
          <w:sz w:val="24"/>
          <w:szCs w:val="24"/>
        </w:rPr>
      </w:pPr>
    </w:p>
    <w:p w:rsidR="00380BF6" w:rsidRPr="009B7965" w:rsidRDefault="00380BF6" w:rsidP="00380BF6">
      <w:pPr>
        <w:pStyle w:val="Corpotesto"/>
        <w:spacing w:after="0" w:line="360" w:lineRule="auto"/>
        <w:ind w:right="85" w:firstLine="709"/>
        <w:jc w:val="both"/>
        <w:rPr>
          <w:sz w:val="24"/>
          <w:szCs w:val="24"/>
        </w:rPr>
      </w:pPr>
      <w:r>
        <w:rPr>
          <w:sz w:val="24"/>
          <w:szCs w:val="24"/>
        </w:rPr>
        <w:t xml:space="preserve">  </w:t>
      </w:r>
    </w:p>
    <w:sectPr w:rsidR="00380BF6" w:rsidRPr="009B7965" w:rsidSect="00C5703B">
      <w:footerReference w:type="default" r:id="rId11"/>
      <w:pgSz w:w="11907" w:h="16840" w:code="9"/>
      <w:pgMar w:top="1304" w:right="1304" w:bottom="1418"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5F" w:rsidRDefault="00EC115F" w:rsidP="000D169F">
      <w:r>
        <w:separator/>
      </w:r>
    </w:p>
  </w:endnote>
  <w:endnote w:type="continuationSeparator" w:id="0">
    <w:p w:rsidR="00EC115F" w:rsidRDefault="00EC115F" w:rsidP="000D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tillium We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076143"/>
      <w:docPartObj>
        <w:docPartGallery w:val="Page Numbers (Bottom of Page)"/>
        <w:docPartUnique/>
      </w:docPartObj>
    </w:sdtPr>
    <w:sdtEndPr/>
    <w:sdtContent>
      <w:p w:rsidR="00845E81" w:rsidRDefault="00845E81">
        <w:pPr>
          <w:pStyle w:val="Pidipagina"/>
          <w:jc w:val="right"/>
        </w:pPr>
        <w:r>
          <w:fldChar w:fldCharType="begin"/>
        </w:r>
        <w:r>
          <w:instrText>PAGE   \* MERGEFORMAT</w:instrText>
        </w:r>
        <w:r>
          <w:fldChar w:fldCharType="separate"/>
        </w:r>
        <w:r w:rsidR="00675517">
          <w:rPr>
            <w:noProof/>
          </w:rPr>
          <w:t>9</w:t>
        </w:r>
        <w:r>
          <w:fldChar w:fldCharType="end"/>
        </w:r>
      </w:p>
    </w:sdtContent>
  </w:sdt>
  <w:p w:rsidR="000D169F" w:rsidRDefault="000D16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5F" w:rsidRDefault="00EC115F" w:rsidP="000D169F">
      <w:r>
        <w:separator/>
      </w:r>
    </w:p>
  </w:footnote>
  <w:footnote w:type="continuationSeparator" w:id="0">
    <w:p w:rsidR="00EC115F" w:rsidRDefault="00EC115F" w:rsidP="000D1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B2C"/>
    <w:multiLevelType w:val="hybridMultilevel"/>
    <w:tmpl w:val="35D0E082"/>
    <w:lvl w:ilvl="0" w:tplc="04100001">
      <w:start w:val="1"/>
      <w:numFmt w:val="bullet"/>
      <w:lvlText w:val=""/>
      <w:lvlJc w:val="left"/>
      <w:pPr>
        <w:ind w:left="1988" w:hanging="360"/>
      </w:pPr>
      <w:rPr>
        <w:rFonts w:ascii="Symbol" w:hAnsi="Symbol" w:hint="default"/>
      </w:rPr>
    </w:lvl>
    <w:lvl w:ilvl="1" w:tplc="04100003" w:tentative="1">
      <w:start w:val="1"/>
      <w:numFmt w:val="bullet"/>
      <w:lvlText w:val="o"/>
      <w:lvlJc w:val="left"/>
      <w:pPr>
        <w:ind w:left="2708" w:hanging="360"/>
      </w:pPr>
      <w:rPr>
        <w:rFonts w:ascii="Courier New" w:hAnsi="Courier New" w:cs="Courier New" w:hint="default"/>
      </w:rPr>
    </w:lvl>
    <w:lvl w:ilvl="2" w:tplc="04100005" w:tentative="1">
      <w:start w:val="1"/>
      <w:numFmt w:val="bullet"/>
      <w:lvlText w:val=""/>
      <w:lvlJc w:val="left"/>
      <w:pPr>
        <w:ind w:left="3428" w:hanging="360"/>
      </w:pPr>
      <w:rPr>
        <w:rFonts w:ascii="Wingdings" w:hAnsi="Wingdings" w:hint="default"/>
      </w:rPr>
    </w:lvl>
    <w:lvl w:ilvl="3" w:tplc="04100001" w:tentative="1">
      <w:start w:val="1"/>
      <w:numFmt w:val="bullet"/>
      <w:lvlText w:val=""/>
      <w:lvlJc w:val="left"/>
      <w:pPr>
        <w:ind w:left="4148" w:hanging="360"/>
      </w:pPr>
      <w:rPr>
        <w:rFonts w:ascii="Symbol" w:hAnsi="Symbol" w:hint="default"/>
      </w:rPr>
    </w:lvl>
    <w:lvl w:ilvl="4" w:tplc="04100003" w:tentative="1">
      <w:start w:val="1"/>
      <w:numFmt w:val="bullet"/>
      <w:lvlText w:val="o"/>
      <w:lvlJc w:val="left"/>
      <w:pPr>
        <w:ind w:left="4868" w:hanging="360"/>
      </w:pPr>
      <w:rPr>
        <w:rFonts w:ascii="Courier New" w:hAnsi="Courier New" w:cs="Courier New" w:hint="default"/>
      </w:rPr>
    </w:lvl>
    <w:lvl w:ilvl="5" w:tplc="04100005" w:tentative="1">
      <w:start w:val="1"/>
      <w:numFmt w:val="bullet"/>
      <w:lvlText w:val=""/>
      <w:lvlJc w:val="left"/>
      <w:pPr>
        <w:ind w:left="5588" w:hanging="360"/>
      </w:pPr>
      <w:rPr>
        <w:rFonts w:ascii="Wingdings" w:hAnsi="Wingdings" w:hint="default"/>
      </w:rPr>
    </w:lvl>
    <w:lvl w:ilvl="6" w:tplc="04100001" w:tentative="1">
      <w:start w:val="1"/>
      <w:numFmt w:val="bullet"/>
      <w:lvlText w:val=""/>
      <w:lvlJc w:val="left"/>
      <w:pPr>
        <w:ind w:left="6308" w:hanging="360"/>
      </w:pPr>
      <w:rPr>
        <w:rFonts w:ascii="Symbol" w:hAnsi="Symbol" w:hint="default"/>
      </w:rPr>
    </w:lvl>
    <w:lvl w:ilvl="7" w:tplc="04100003" w:tentative="1">
      <w:start w:val="1"/>
      <w:numFmt w:val="bullet"/>
      <w:lvlText w:val="o"/>
      <w:lvlJc w:val="left"/>
      <w:pPr>
        <w:ind w:left="7028" w:hanging="360"/>
      </w:pPr>
      <w:rPr>
        <w:rFonts w:ascii="Courier New" w:hAnsi="Courier New" w:cs="Courier New" w:hint="default"/>
      </w:rPr>
    </w:lvl>
    <w:lvl w:ilvl="8" w:tplc="04100005" w:tentative="1">
      <w:start w:val="1"/>
      <w:numFmt w:val="bullet"/>
      <w:lvlText w:val=""/>
      <w:lvlJc w:val="left"/>
      <w:pPr>
        <w:ind w:left="7748" w:hanging="360"/>
      </w:pPr>
      <w:rPr>
        <w:rFonts w:ascii="Wingdings" w:hAnsi="Wingdings" w:hint="default"/>
      </w:rPr>
    </w:lvl>
  </w:abstractNum>
  <w:abstractNum w:abstractNumId="1" w15:restartNumberingAfterBreak="0">
    <w:nsid w:val="16A03C79"/>
    <w:multiLevelType w:val="hybridMultilevel"/>
    <w:tmpl w:val="784EEBF6"/>
    <w:lvl w:ilvl="0" w:tplc="04100017">
      <w:start w:val="1"/>
      <w:numFmt w:val="lowerLetter"/>
      <w:lvlText w:val="%1)"/>
      <w:lvlJc w:val="left"/>
      <w:pPr>
        <w:ind w:left="1988" w:hanging="360"/>
      </w:pPr>
      <w:rPr>
        <w:rFonts w:hint="default"/>
        <w:w w:val="99"/>
        <w:sz w:val="24"/>
        <w:szCs w:val="24"/>
      </w:rPr>
    </w:lvl>
    <w:lvl w:ilvl="1" w:tplc="75966D8E">
      <w:numFmt w:val="bullet"/>
      <w:lvlText w:val="•"/>
      <w:lvlJc w:val="left"/>
      <w:pPr>
        <w:ind w:left="2908" w:hanging="360"/>
      </w:pPr>
      <w:rPr>
        <w:rFonts w:hint="default"/>
      </w:rPr>
    </w:lvl>
    <w:lvl w:ilvl="2" w:tplc="7AA8131A">
      <w:numFmt w:val="bullet"/>
      <w:lvlText w:val="•"/>
      <w:lvlJc w:val="left"/>
      <w:pPr>
        <w:ind w:left="3837" w:hanging="360"/>
      </w:pPr>
      <w:rPr>
        <w:rFonts w:hint="default"/>
      </w:rPr>
    </w:lvl>
    <w:lvl w:ilvl="3" w:tplc="3566FF3A">
      <w:numFmt w:val="bullet"/>
      <w:lvlText w:val="•"/>
      <w:lvlJc w:val="left"/>
      <w:pPr>
        <w:ind w:left="4765" w:hanging="360"/>
      </w:pPr>
      <w:rPr>
        <w:rFonts w:hint="default"/>
      </w:rPr>
    </w:lvl>
    <w:lvl w:ilvl="4" w:tplc="F8AC8ADE">
      <w:numFmt w:val="bullet"/>
      <w:lvlText w:val="•"/>
      <w:lvlJc w:val="left"/>
      <w:pPr>
        <w:ind w:left="5694" w:hanging="360"/>
      </w:pPr>
      <w:rPr>
        <w:rFonts w:hint="default"/>
      </w:rPr>
    </w:lvl>
    <w:lvl w:ilvl="5" w:tplc="E78204D6">
      <w:numFmt w:val="bullet"/>
      <w:lvlText w:val="•"/>
      <w:lvlJc w:val="left"/>
      <w:pPr>
        <w:ind w:left="6622" w:hanging="360"/>
      </w:pPr>
      <w:rPr>
        <w:rFonts w:hint="default"/>
      </w:rPr>
    </w:lvl>
    <w:lvl w:ilvl="6" w:tplc="F2822ABC">
      <w:numFmt w:val="bullet"/>
      <w:lvlText w:val="•"/>
      <w:lvlJc w:val="left"/>
      <w:pPr>
        <w:ind w:left="7551" w:hanging="360"/>
      </w:pPr>
      <w:rPr>
        <w:rFonts w:hint="default"/>
      </w:rPr>
    </w:lvl>
    <w:lvl w:ilvl="7" w:tplc="D23E11B8">
      <w:numFmt w:val="bullet"/>
      <w:lvlText w:val="•"/>
      <w:lvlJc w:val="left"/>
      <w:pPr>
        <w:ind w:left="8479" w:hanging="360"/>
      </w:pPr>
      <w:rPr>
        <w:rFonts w:hint="default"/>
      </w:rPr>
    </w:lvl>
    <w:lvl w:ilvl="8" w:tplc="FF60BFCA">
      <w:numFmt w:val="bullet"/>
      <w:lvlText w:val="•"/>
      <w:lvlJc w:val="left"/>
      <w:pPr>
        <w:ind w:left="9408" w:hanging="360"/>
      </w:pPr>
      <w:rPr>
        <w:rFonts w:hint="default"/>
      </w:rPr>
    </w:lvl>
  </w:abstractNum>
  <w:abstractNum w:abstractNumId="2" w15:restartNumberingAfterBreak="0">
    <w:nsid w:val="1D516CB8"/>
    <w:multiLevelType w:val="hybridMultilevel"/>
    <w:tmpl w:val="F3E642C0"/>
    <w:lvl w:ilvl="0" w:tplc="A91C4776">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240D321E"/>
    <w:multiLevelType w:val="hybridMultilevel"/>
    <w:tmpl w:val="D15E7B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DA453D"/>
    <w:multiLevelType w:val="hybridMultilevel"/>
    <w:tmpl w:val="05F848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4D5F53"/>
    <w:multiLevelType w:val="hybridMultilevel"/>
    <w:tmpl w:val="94AC2EF4"/>
    <w:lvl w:ilvl="0" w:tplc="0410000B">
      <w:start w:val="1"/>
      <w:numFmt w:val="bullet"/>
      <w:lvlText w:val=""/>
      <w:lvlJc w:val="left"/>
      <w:pPr>
        <w:ind w:left="1980" w:hanging="360"/>
      </w:pPr>
      <w:rPr>
        <w:rFonts w:ascii="Wingdings" w:hAnsi="Wingdings" w:hint="default"/>
      </w:rPr>
    </w:lvl>
    <w:lvl w:ilvl="1" w:tplc="04100003" w:tentative="1">
      <w:start w:val="1"/>
      <w:numFmt w:val="bullet"/>
      <w:lvlText w:val="o"/>
      <w:lvlJc w:val="left"/>
      <w:pPr>
        <w:ind w:left="2700" w:hanging="360"/>
      </w:pPr>
      <w:rPr>
        <w:rFonts w:ascii="Courier New" w:hAnsi="Courier New" w:cs="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cs="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cs="Courier New" w:hint="default"/>
      </w:rPr>
    </w:lvl>
    <w:lvl w:ilvl="8" w:tplc="04100005" w:tentative="1">
      <w:start w:val="1"/>
      <w:numFmt w:val="bullet"/>
      <w:lvlText w:val=""/>
      <w:lvlJc w:val="left"/>
      <w:pPr>
        <w:ind w:left="7740" w:hanging="360"/>
      </w:pPr>
      <w:rPr>
        <w:rFonts w:ascii="Wingdings" w:hAnsi="Wingdings" w:hint="default"/>
      </w:rPr>
    </w:lvl>
  </w:abstractNum>
  <w:abstractNum w:abstractNumId="6" w15:restartNumberingAfterBreak="0">
    <w:nsid w:val="3E8F4662"/>
    <w:multiLevelType w:val="hybridMultilevel"/>
    <w:tmpl w:val="E0802A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3D334C"/>
    <w:multiLevelType w:val="hybridMultilevel"/>
    <w:tmpl w:val="65EC95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AA4AB1"/>
    <w:multiLevelType w:val="hybridMultilevel"/>
    <w:tmpl w:val="3A36B0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5D21CF"/>
    <w:multiLevelType w:val="hybridMultilevel"/>
    <w:tmpl w:val="9EFCAA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BC0949"/>
    <w:multiLevelType w:val="hybridMultilevel"/>
    <w:tmpl w:val="C8EEE1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C74F9E"/>
    <w:multiLevelType w:val="hybridMultilevel"/>
    <w:tmpl w:val="4508CA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683D67"/>
    <w:multiLevelType w:val="hybridMultilevel"/>
    <w:tmpl w:val="B64E7546"/>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3" w15:restartNumberingAfterBreak="0">
    <w:nsid w:val="63F62125"/>
    <w:multiLevelType w:val="hybridMultilevel"/>
    <w:tmpl w:val="6FD0DCDC"/>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4" w15:restartNumberingAfterBreak="0">
    <w:nsid w:val="6DC90E50"/>
    <w:multiLevelType w:val="multilevel"/>
    <w:tmpl w:val="980A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7A15F7"/>
    <w:multiLevelType w:val="hybridMultilevel"/>
    <w:tmpl w:val="34F0555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B7276C"/>
    <w:multiLevelType w:val="hybridMultilevel"/>
    <w:tmpl w:val="2AF8C2A6"/>
    <w:lvl w:ilvl="0" w:tplc="D64CAB82">
      <w:numFmt w:val="bullet"/>
      <w:lvlText w:val="-"/>
      <w:lvlJc w:val="left"/>
      <w:pPr>
        <w:ind w:left="2061" w:hanging="360"/>
      </w:pPr>
      <w:rPr>
        <w:rFonts w:ascii="Times New Roman" w:eastAsia="Times New Roman" w:hAnsi="Times New Roman"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7" w15:restartNumberingAfterBreak="0">
    <w:nsid w:val="785E7E92"/>
    <w:multiLevelType w:val="hybridMultilevel"/>
    <w:tmpl w:val="FEBC3214"/>
    <w:lvl w:ilvl="0" w:tplc="C392592A">
      <w:start w:val="1"/>
      <w:numFmt w:val="decimal"/>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8" w15:restartNumberingAfterBreak="0">
    <w:nsid w:val="7DE807D0"/>
    <w:multiLevelType w:val="hybridMultilevel"/>
    <w:tmpl w:val="D424E1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16"/>
  </w:num>
  <w:num w:numId="5">
    <w:abstractNumId w:val="17"/>
  </w:num>
  <w:num w:numId="6">
    <w:abstractNumId w:val="14"/>
  </w:num>
  <w:num w:numId="7">
    <w:abstractNumId w:val="9"/>
  </w:num>
  <w:num w:numId="8">
    <w:abstractNumId w:val="0"/>
  </w:num>
  <w:num w:numId="9">
    <w:abstractNumId w:val="2"/>
  </w:num>
  <w:num w:numId="10">
    <w:abstractNumId w:val="1"/>
  </w:num>
  <w:num w:numId="11">
    <w:abstractNumId w:val="5"/>
  </w:num>
  <w:num w:numId="12">
    <w:abstractNumId w:val="11"/>
  </w:num>
  <w:num w:numId="13">
    <w:abstractNumId w:val="6"/>
  </w:num>
  <w:num w:numId="14">
    <w:abstractNumId w:val="8"/>
  </w:num>
  <w:num w:numId="15">
    <w:abstractNumId w:val="18"/>
  </w:num>
  <w:num w:numId="16">
    <w:abstractNumId w:val="10"/>
  </w:num>
  <w:num w:numId="17">
    <w:abstractNumId w:val="7"/>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F4"/>
    <w:rsid w:val="00003A40"/>
    <w:rsid w:val="00004073"/>
    <w:rsid w:val="0000409B"/>
    <w:rsid w:val="0001121E"/>
    <w:rsid w:val="0001480A"/>
    <w:rsid w:val="00014B63"/>
    <w:rsid w:val="00016A11"/>
    <w:rsid w:val="000170A9"/>
    <w:rsid w:val="00017D0E"/>
    <w:rsid w:val="000215AC"/>
    <w:rsid w:val="00024A96"/>
    <w:rsid w:val="00034CE7"/>
    <w:rsid w:val="00040131"/>
    <w:rsid w:val="00055C99"/>
    <w:rsid w:val="00057B93"/>
    <w:rsid w:val="0006651A"/>
    <w:rsid w:val="0007236A"/>
    <w:rsid w:val="00073748"/>
    <w:rsid w:val="00081E93"/>
    <w:rsid w:val="00082109"/>
    <w:rsid w:val="00085387"/>
    <w:rsid w:val="00090B3A"/>
    <w:rsid w:val="00091F4B"/>
    <w:rsid w:val="00092211"/>
    <w:rsid w:val="0009256D"/>
    <w:rsid w:val="00097846"/>
    <w:rsid w:val="00097AA0"/>
    <w:rsid w:val="000A3AC4"/>
    <w:rsid w:val="000A55F9"/>
    <w:rsid w:val="000B0BF2"/>
    <w:rsid w:val="000B0C6D"/>
    <w:rsid w:val="000B0CB6"/>
    <w:rsid w:val="000B105A"/>
    <w:rsid w:val="000B136A"/>
    <w:rsid w:val="000C7041"/>
    <w:rsid w:val="000D169F"/>
    <w:rsid w:val="000D34C4"/>
    <w:rsid w:val="000D5FFA"/>
    <w:rsid w:val="000D78A3"/>
    <w:rsid w:val="000E26AB"/>
    <w:rsid w:val="000E3D5F"/>
    <w:rsid w:val="000F131F"/>
    <w:rsid w:val="000F2B03"/>
    <w:rsid w:val="000F3904"/>
    <w:rsid w:val="000F6ED2"/>
    <w:rsid w:val="00106524"/>
    <w:rsid w:val="00110A67"/>
    <w:rsid w:val="00111464"/>
    <w:rsid w:val="00111DCD"/>
    <w:rsid w:val="0011627A"/>
    <w:rsid w:val="001169ED"/>
    <w:rsid w:val="0012062D"/>
    <w:rsid w:val="00122ECB"/>
    <w:rsid w:val="0012327C"/>
    <w:rsid w:val="0012704F"/>
    <w:rsid w:val="0012727E"/>
    <w:rsid w:val="0013345F"/>
    <w:rsid w:val="001353BD"/>
    <w:rsid w:val="0013612E"/>
    <w:rsid w:val="001401BE"/>
    <w:rsid w:val="001430F4"/>
    <w:rsid w:val="001440BE"/>
    <w:rsid w:val="00146771"/>
    <w:rsid w:val="001469C5"/>
    <w:rsid w:val="00150214"/>
    <w:rsid w:val="00150497"/>
    <w:rsid w:val="00162A03"/>
    <w:rsid w:val="00162FA1"/>
    <w:rsid w:val="00164B1D"/>
    <w:rsid w:val="00165B8D"/>
    <w:rsid w:val="00165C7B"/>
    <w:rsid w:val="00175460"/>
    <w:rsid w:val="00181554"/>
    <w:rsid w:val="001829ED"/>
    <w:rsid w:val="0018334D"/>
    <w:rsid w:val="001845B6"/>
    <w:rsid w:val="00186108"/>
    <w:rsid w:val="001945C3"/>
    <w:rsid w:val="001A063A"/>
    <w:rsid w:val="001A4BE8"/>
    <w:rsid w:val="001A7119"/>
    <w:rsid w:val="001B2F2B"/>
    <w:rsid w:val="001B3B57"/>
    <w:rsid w:val="001B59BC"/>
    <w:rsid w:val="001C33B3"/>
    <w:rsid w:val="001C402A"/>
    <w:rsid w:val="001C7A1C"/>
    <w:rsid w:val="001C7CA8"/>
    <w:rsid w:val="001D1F2B"/>
    <w:rsid w:val="001D2B10"/>
    <w:rsid w:val="001E1ECE"/>
    <w:rsid w:val="001E253C"/>
    <w:rsid w:val="001E2DFC"/>
    <w:rsid w:val="001E4AF4"/>
    <w:rsid w:val="001F2209"/>
    <w:rsid w:val="001F57DE"/>
    <w:rsid w:val="00200A25"/>
    <w:rsid w:val="00202B99"/>
    <w:rsid w:val="00206313"/>
    <w:rsid w:val="00207746"/>
    <w:rsid w:val="002105EF"/>
    <w:rsid w:val="002135FE"/>
    <w:rsid w:val="002162D7"/>
    <w:rsid w:val="00224FDC"/>
    <w:rsid w:val="00225FB6"/>
    <w:rsid w:val="00226A8B"/>
    <w:rsid w:val="00227737"/>
    <w:rsid w:val="002300F5"/>
    <w:rsid w:val="00230FD1"/>
    <w:rsid w:val="002406A4"/>
    <w:rsid w:val="00242CF3"/>
    <w:rsid w:val="00243BB4"/>
    <w:rsid w:val="0024542A"/>
    <w:rsid w:val="00253EF8"/>
    <w:rsid w:val="002555E2"/>
    <w:rsid w:val="00261114"/>
    <w:rsid w:val="00264216"/>
    <w:rsid w:val="00265A43"/>
    <w:rsid w:val="00265A76"/>
    <w:rsid w:val="00266089"/>
    <w:rsid w:val="002665C4"/>
    <w:rsid w:val="00266CDD"/>
    <w:rsid w:val="002677EE"/>
    <w:rsid w:val="00271304"/>
    <w:rsid w:val="00271592"/>
    <w:rsid w:val="00271F40"/>
    <w:rsid w:val="002747F7"/>
    <w:rsid w:val="0027655C"/>
    <w:rsid w:val="0027727A"/>
    <w:rsid w:val="00281B01"/>
    <w:rsid w:val="002855A9"/>
    <w:rsid w:val="00293ECF"/>
    <w:rsid w:val="002A28A4"/>
    <w:rsid w:val="002A4642"/>
    <w:rsid w:val="002A653B"/>
    <w:rsid w:val="002B14D3"/>
    <w:rsid w:val="002B1A3B"/>
    <w:rsid w:val="002B4659"/>
    <w:rsid w:val="002B6596"/>
    <w:rsid w:val="002C22F4"/>
    <w:rsid w:val="002C564B"/>
    <w:rsid w:val="002C6590"/>
    <w:rsid w:val="002C6C59"/>
    <w:rsid w:val="002C7F4C"/>
    <w:rsid w:val="002E19B8"/>
    <w:rsid w:val="002E3281"/>
    <w:rsid w:val="002E6138"/>
    <w:rsid w:val="002E7ECC"/>
    <w:rsid w:val="002F1294"/>
    <w:rsid w:val="002F76E6"/>
    <w:rsid w:val="00303A81"/>
    <w:rsid w:val="003046D0"/>
    <w:rsid w:val="00306126"/>
    <w:rsid w:val="003067E7"/>
    <w:rsid w:val="00314487"/>
    <w:rsid w:val="003148CC"/>
    <w:rsid w:val="00315698"/>
    <w:rsid w:val="0032106D"/>
    <w:rsid w:val="00321954"/>
    <w:rsid w:val="00321BFA"/>
    <w:rsid w:val="003249B2"/>
    <w:rsid w:val="003321BF"/>
    <w:rsid w:val="003369FD"/>
    <w:rsid w:val="003400D8"/>
    <w:rsid w:val="00340258"/>
    <w:rsid w:val="003419DD"/>
    <w:rsid w:val="00341F33"/>
    <w:rsid w:val="003429E9"/>
    <w:rsid w:val="00351CF7"/>
    <w:rsid w:val="00351E69"/>
    <w:rsid w:val="00353D9B"/>
    <w:rsid w:val="00362DDC"/>
    <w:rsid w:val="003640D7"/>
    <w:rsid w:val="00364BB5"/>
    <w:rsid w:val="003677B8"/>
    <w:rsid w:val="00367903"/>
    <w:rsid w:val="003710EC"/>
    <w:rsid w:val="003753F2"/>
    <w:rsid w:val="00376D66"/>
    <w:rsid w:val="00380BF6"/>
    <w:rsid w:val="00385EF1"/>
    <w:rsid w:val="00387615"/>
    <w:rsid w:val="00390A55"/>
    <w:rsid w:val="0039132C"/>
    <w:rsid w:val="00391F5B"/>
    <w:rsid w:val="00392F9A"/>
    <w:rsid w:val="003946DB"/>
    <w:rsid w:val="003A20CF"/>
    <w:rsid w:val="003A3D9F"/>
    <w:rsid w:val="003A4C78"/>
    <w:rsid w:val="003A5FD2"/>
    <w:rsid w:val="003A6BD1"/>
    <w:rsid w:val="003A7054"/>
    <w:rsid w:val="003A7A82"/>
    <w:rsid w:val="003A7B12"/>
    <w:rsid w:val="003B12FC"/>
    <w:rsid w:val="003B264C"/>
    <w:rsid w:val="003B4452"/>
    <w:rsid w:val="003B497A"/>
    <w:rsid w:val="003B5D91"/>
    <w:rsid w:val="003B770F"/>
    <w:rsid w:val="003C052B"/>
    <w:rsid w:val="003C1051"/>
    <w:rsid w:val="003C1C48"/>
    <w:rsid w:val="003C44BF"/>
    <w:rsid w:val="003C7B00"/>
    <w:rsid w:val="003D0DD0"/>
    <w:rsid w:val="003D25A4"/>
    <w:rsid w:val="003D3D6B"/>
    <w:rsid w:val="003D73C8"/>
    <w:rsid w:val="003E7F97"/>
    <w:rsid w:val="003F7962"/>
    <w:rsid w:val="00401B73"/>
    <w:rsid w:val="004024D0"/>
    <w:rsid w:val="004050B5"/>
    <w:rsid w:val="00414BF7"/>
    <w:rsid w:val="00416958"/>
    <w:rsid w:val="004206E0"/>
    <w:rsid w:val="00423786"/>
    <w:rsid w:val="0042468D"/>
    <w:rsid w:val="00426ADE"/>
    <w:rsid w:val="0043053F"/>
    <w:rsid w:val="0043329F"/>
    <w:rsid w:val="00437C8A"/>
    <w:rsid w:val="0044088F"/>
    <w:rsid w:val="00447DF1"/>
    <w:rsid w:val="00456536"/>
    <w:rsid w:val="00462B55"/>
    <w:rsid w:val="00463389"/>
    <w:rsid w:val="004635B1"/>
    <w:rsid w:val="00465791"/>
    <w:rsid w:val="004673F7"/>
    <w:rsid w:val="004708B0"/>
    <w:rsid w:val="0047139B"/>
    <w:rsid w:val="004756F7"/>
    <w:rsid w:val="004822BC"/>
    <w:rsid w:val="00485CF0"/>
    <w:rsid w:val="004878DC"/>
    <w:rsid w:val="004918F1"/>
    <w:rsid w:val="004925D7"/>
    <w:rsid w:val="004969A7"/>
    <w:rsid w:val="004A0A2C"/>
    <w:rsid w:val="004A138E"/>
    <w:rsid w:val="004A1780"/>
    <w:rsid w:val="004A41BC"/>
    <w:rsid w:val="004B0470"/>
    <w:rsid w:val="004B326C"/>
    <w:rsid w:val="004C5E16"/>
    <w:rsid w:val="004C61F6"/>
    <w:rsid w:val="004C7DC3"/>
    <w:rsid w:val="004D1DFC"/>
    <w:rsid w:val="004D4DB0"/>
    <w:rsid w:val="004D75A6"/>
    <w:rsid w:val="004E1F1E"/>
    <w:rsid w:val="004E2B32"/>
    <w:rsid w:val="004E3672"/>
    <w:rsid w:val="004F2B60"/>
    <w:rsid w:val="004F4E33"/>
    <w:rsid w:val="004F4F21"/>
    <w:rsid w:val="00504786"/>
    <w:rsid w:val="00514CFE"/>
    <w:rsid w:val="005165E0"/>
    <w:rsid w:val="00521DDB"/>
    <w:rsid w:val="00522B77"/>
    <w:rsid w:val="005236F0"/>
    <w:rsid w:val="005255DB"/>
    <w:rsid w:val="00525BCC"/>
    <w:rsid w:val="00527B54"/>
    <w:rsid w:val="00530D97"/>
    <w:rsid w:val="0053390D"/>
    <w:rsid w:val="00536F66"/>
    <w:rsid w:val="00537C2B"/>
    <w:rsid w:val="00540A02"/>
    <w:rsid w:val="00543EAD"/>
    <w:rsid w:val="0054476B"/>
    <w:rsid w:val="005504A4"/>
    <w:rsid w:val="00553E1F"/>
    <w:rsid w:val="00554FE7"/>
    <w:rsid w:val="00557B02"/>
    <w:rsid w:val="00561EE4"/>
    <w:rsid w:val="00562FA7"/>
    <w:rsid w:val="00565FDD"/>
    <w:rsid w:val="005664DC"/>
    <w:rsid w:val="00570590"/>
    <w:rsid w:val="00576AAA"/>
    <w:rsid w:val="00580D23"/>
    <w:rsid w:val="00581B02"/>
    <w:rsid w:val="00584723"/>
    <w:rsid w:val="005853B0"/>
    <w:rsid w:val="0058699B"/>
    <w:rsid w:val="005A5298"/>
    <w:rsid w:val="005B367E"/>
    <w:rsid w:val="005B3B6A"/>
    <w:rsid w:val="005B4077"/>
    <w:rsid w:val="005C763C"/>
    <w:rsid w:val="005D16C8"/>
    <w:rsid w:val="005D2A04"/>
    <w:rsid w:val="005D3181"/>
    <w:rsid w:val="005D68C4"/>
    <w:rsid w:val="005D7725"/>
    <w:rsid w:val="005E19CE"/>
    <w:rsid w:val="005E2F66"/>
    <w:rsid w:val="005E4A52"/>
    <w:rsid w:val="005E6D2C"/>
    <w:rsid w:val="005E6F7E"/>
    <w:rsid w:val="005F06B5"/>
    <w:rsid w:val="005F4E31"/>
    <w:rsid w:val="005F6957"/>
    <w:rsid w:val="005F7377"/>
    <w:rsid w:val="0060434C"/>
    <w:rsid w:val="00613A98"/>
    <w:rsid w:val="00616AB3"/>
    <w:rsid w:val="0062317A"/>
    <w:rsid w:val="00623990"/>
    <w:rsid w:val="006254CE"/>
    <w:rsid w:val="006256D3"/>
    <w:rsid w:val="0062636C"/>
    <w:rsid w:val="006263D6"/>
    <w:rsid w:val="00626C52"/>
    <w:rsid w:val="0063185D"/>
    <w:rsid w:val="00641A77"/>
    <w:rsid w:val="0064746D"/>
    <w:rsid w:val="00653884"/>
    <w:rsid w:val="00660B2E"/>
    <w:rsid w:val="00660ED5"/>
    <w:rsid w:val="00661366"/>
    <w:rsid w:val="00665189"/>
    <w:rsid w:val="006674F4"/>
    <w:rsid w:val="0067341F"/>
    <w:rsid w:val="00675517"/>
    <w:rsid w:val="00675D81"/>
    <w:rsid w:val="00676092"/>
    <w:rsid w:val="006818BA"/>
    <w:rsid w:val="006860C9"/>
    <w:rsid w:val="00686515"/>
    <w:rsid w:val="00691BCE"/>
    <w:rsid w:val="00693A15"/>
    <w:rsid w:val="00693EBC"/>
    <w:rsid w:val="00694C8D"/>
    <w:rsid w:val="00696112"/>
    <w:rsid w:val="00697000"/>
    <w:rsid w:val="006B19AF"/>
    <w:rsid w:val="006B28CA"/>
    <w:rsid w:val="006B3D4F"/>
    <w:rsid w:val="006B4906"/>
    <w:rsid w:val="006B57FB"/>
    <w:rsid w:val="006B6EFB"/>
    <w:rsid w:val="006B7977"/>
    <w:rsid w:val="006C10AF"/>
    <w:rsid w:val="006C4892"/>
    <w:rsid w:val="006D03D3"/>
    <w:rsid w:val="006D0A3E"/>
    <w:rsid w:val="006D37CC"/>
    <w:rsid w:val="006D6876"/>
    <w:rsid w:val="006D7ED3"/>
    <w:rsid w:val="006E530C"/>
    <w:rsid w:val="006F50F0"/>
    <w:rsid w:val="006F7980"/>
    <w:rsid w:val="006F7F34"/>
    <w:rsid w:val="00701A5A"/>
    <w:rsid w:val="00703E4C"/>
    <w:rsid w:val="00704B5B"/>
    <w:rsid w:val="00704FDE"/>
    <w:rsid w:val="00705991"/>
    <w:rsid w:val="00711817"/>
    <w:rsid w:val="00712309"/>
    <w:rsid w:val="0071257B"/>
    <w:rsid w:val="007133E6"/>
    <w:rsid w:val="00715248"/>
    <w:rsid w:val="00721E83"/>
    <w:rsid w:val="00722A3D"/>
    <w:rsid w:val="007231F5"/>
    <w:rsid w:val="00726739"/>
    <w:rsid w:val="0072780F"/>
    <w:rsid w:val="00732CD5"/>
    <w:rsid w:val="00743C6A"/>
    <w:rsid w:val="0075009B"/>
    <w:rsid w:val="0075077A"/>
    <w:rsid w:val="007636C8"/>
    <w:rsid w:val="00766B2D"/>
    <w:rsid w:val="007719B8"/>
    <w:rsid w:val="00776D11"/>
    <w:rsid w:val="00777571"/>
    <w:rsid w:val="00777DF8"/>
    <w:rsid w:val="007868A0"/>
    <w:rsid w:val="007905E2"/>
    <w:rsid w:val="00797CBB"/>
    <w:rsid w:val="007A5675"/>
    <w:rsid w:val="007B0719"/>
    <w:rsid w:val="007B0DB2"/>
    <w:rsid w:val="007B25A2"/>
    <w:rsid w:val="007B3CF9"/>
    <w:rsid w:val="007B686F"/>
    <w:rsid w:val="007C05E1"/>
    <w:rsid w:val="007C1B2D"/>
    <w:rsid w:val="007C2DEF"/>
    <w:rsid w:val="007C67E1"/>
    <w:rsid w:val="007C7C3E"/>
    <w:rsid w:val="007D619F"/>
    <w:rsid w:val="007E19ED"/>
    <w:rsid w:val="007E1E9D"/>
    <w:rsid w:val="007E417D"/>
    <w:rsid w:val="007E4788"/>
    <w:rsid w:val="007E4C14"/>
    <w:rsid w:val="007E560E"/>
    <w:rsid w:val="007F287B"/>
    <w:rsid w:val="007F4998"/>
    <w:rsid w:val="007F4E1F"/>
    <w:rsid w:val="007F73C2"/>
    <w:rsid w:val="00800CF8"/>
    <w:rsid w:val="008012F4"/>
    <w:rsid w:val="00810E51"/>
    <w:rsid w:val="00811D8F"/>
    <w:rsid w:val="0081287A"/>
    <w:rsid w:val="008134FC"/>
    <w:rsid w:val="00813E35"/>
    <w:rsid w:val="00817FEF"/>
    <w:rsid w:val="00825456"/>
    <w:rsid w:val="00827FED"/>
    <w:rsid w:val="00831BD1"/>
    <w:rsid w:val="00833531"/>
    <w:rsid w:val="00833F99"/>
    <w:rsid w:val="008413B3"/>
    <w:rsid w:val="00843EE4"/>
    <w:rsid w:val="00845E81"/>
    <w:rsid w:val="00847CBC"/>
    <w:rsid w:val="00850EE0"/>
    <w:rsid w:val="008538EB"/>
    <w:rsid w:val="008549CE"/>
    <w:rsid w:val="00854DE4"/>
    <w:rsid w:val="0085611B"/>
    <w:rsid w:val="00856F9B"/>
    <w:rsid w:val="00861600"/>
    <w:rsid w:val="008632EB"/>
    <w:rsid w:val="00864D08"/>
    <w:rsid w:val="00866F31"/>
    <w:rsid w:val="00872A13"/>
    <w:rsid w:val="00876058"/>
    <w:rsid w:val="00882F10"/>
    <w:rsid w:val="00890AD9"/>
    <w:rsid w:val="00892E4F"/>
    <w:rsid w:val="00893EEC"/>
    <w:rsid w:val="00895231"/>
    <w:rsid w:val="00895D85"/>
    <w:rsid w:val="00897207"/>
    <w:rsid w:val="008A0849"/>
    <w:rsid w:val="008A39FE"/>
    <w:rsid w:val="008A3A63"/>
    <w:rsid w:val="008A447D"/>
    <w:rsid w:val="008A4A6B"/>
    <w:rsid w:val="008A542C"/>
    <w:rsid w:val="008B6105"/>
    <w:rsid w:val="008B7F08"/>
    <w:rsid w:val="008C7885"/>
    <w:rsid w:val="008D5748"/>
    <w:rsid w:val="008D59D1"/>
    <w:rsid w:val="008D6CCF"/>
    <w:rsid w:val="008D7A33"/>
    <w:rsid w:val="008E210A"/>
    <w:rsid w:val="008E30BD"/>
    <w:rsid w:val="008E36D9"/>
    <w:rsid w:val="008E4150"/>
    <w:rsid w:val="008E5215"/>
    <w:rsid w:val="008F4F86"/>
    <w:rsid w:val="00903BFE"/>
    <w:rsid w:val="00904A88"/>
    <w:rsid w:val="00904CEF"/>
    <w:rsid w:val="0090754B"/>
    <w:rsid w:val="0091176D"/>
    <w:rsid w:val="009155E8"/>
    <w:rsid w:val="00920041"/>
    <w:rsid w:val="009238E3"/>
    <w:rsid w:val="00923E90"/>
    <w:rsid w:val="00926802"/>
    <w:rsid w:val="00930E4F"/>
    <w:rsid w:val="0093304C"/>
    <w:rsid w:val="00936931"/>
    <w:rsid w:val="00936A18"/>
    <w:rsid w:val="009372F5"/>
    <w:rsid w:val="009415D6"/>
    <w:rsid w:val="009420F0"/>
    <w:rsid w:val="00945886"/>
    <w:rsid w:val="00945949"/>
    <w:rsid w:val="00951352"/>
    <w:rsid w:val="00955B69"/>
    <w:rsid w:val="00965CEC"/>
    <w:rsid w:val="0097305B"/>
    <w:rsid w:val="00973539"/>
    <w:rsid w:val="00973C51"/>
    <w:rsid w:val="00985954"/>
    <w:rsid w:val="009875FA"/>
    <w:rsid w:val="0099191B"/>
    <w:rsid w:val="009920E8"/>
    <w:rsid w:val="00993A2D"/>
    <w:rsid w:val="00997A0A"/>
    <w:rsid w:val="009A0728"/>
    <w:rsid w:val="009A43EC"/>
    <w:rsid w:val="009A7A61"/>
    <w:rsid w:val="009B7965"/>
    <w:rsid w:val="009C1120"/>
    <w:rsid w:val="009C5D42"/>
    <w:rsid w:val="009D22B9"/>
    <w:rsid w:val="009D3054"/>
    <w:rsid w:val="009E0EA8"/>
    <w:rsid w:val="009E5037"/>
    <w:rsid w:val="009E6A6E"/>
    <w:rsid w:val="009F07AA"/>
    <w:rsid w:val="009F19C7"/>
    <w:rsid w:val="009F2B2A"/>
    <w:rsid w:val="009F3FE6"/>
    <w:rsid w:val="009F4FF3"/>
    <w:rsid w:val="009F63B9"/>
    <w:rsid w:val="009F6977"/>
    <w:rsid w:val="00A01448"/>
    <w:rsid w:val="00A067EC"/>
    <w:rsid w:val="00A11753"/>
    <w:rsid w:val="00A20236"/>
    <w:rsid w:val="00A232E6"/>
    <w:rsid w:val="00A25550"/>
    <w:rsid w:val="00A26594"/>
    <w:rsid w:val="00A27C26"/>
    <w:rsid w:val="00A305BA"/>
    <w:rsid w:val="00A32222"/>
    <w:rsid w:val="00A32C84"/>
    <w:rsid w:val="00A334E8"/>
    <w:rsid w:val="00A368EE"/>
    <w:rsid w:val="00A370D3"/>
    <w:rsid w:val="00A44590"/>
    <w:rsid w:val="00A44B02"/>
    <w:rsid w:val="00A46276"/>
    <w:rsid w:val="00A4699A"/>
    <w:rsid w:val="00A532B7"/>
    <w:rsid w:val="00A53448"/>
    <w:rsid w:val="00A61483"/>
    <w:rsid w:val="00A61986"/>
    <w:rsid w:val="00A65875"/>
    <w:rsid w:val="00A67E43"/>
    <w:rsid w:val="00A7216A"/>
    <w:rsid w:val="00A8104A"/>
    <w:rsid w:val="00A824E5"/>
    <w:rsid w:val="00A90E0D"/>
    <w:rsid w:val="00A9482F"/>
    <w:rsid w:val="00A96950"/>
    <w:rsid w:val="00A96E1D"/>
    <w:rsid w:val="00A97B24"/>
    <w:rsid w:val="00AA151A"/>
    <w:rsid w:val="00AB30CD"/>
    <w:rsid w:val="00AB31A1"/>
    <w:rsid w:val="00AB6A3F"/>
    <w:rsid w:val="00AC0340"/>
    <w:rsid w:val="00AC116A"/>
    <w:rsid w:val="00AC154B"/>
    <w:rsid w:val="00AD2218"/>
    <w:rsid w:val="00AD2A0A"/>
    <w:rsid w:val="00AD3C58"/>
    <w:rsid w:val="00AD6566"/>
    <w:rsid w:val="00AE5C45"/>
    <w:rsid w:val="00AE62E1"/>
    <w:rsid w:val="00AF3758"/>
    <w:rsid w:val="00AF534D"/>
    <w:rsid w:val="00AF653E"/>
    <w:rsid w:val="00B01675"/>
    <w:rsid w:val="00B04DA5"/>
    <w:rsid w:val="00B06738"/>
    <w:rsid w:val="00B151BD"/>
    <w:rsid w:val="00B1778F"/>
    <w:rsid w:val="00B208C4"/>
    <w:rsid w:val="00B307E8"/>
    <w:rsid w:val="00B30E51"/>
    <w:rsid w:val="00B346D9"/>
    <w:rsid w:val="00B34A09"/>
    <w:rsid w:val="00B36B95"/>
    <w:rsid w:val="00B4219F"/>
    <w:rsid w:val="00B46757"/>
    <w:rsid w:val="00B5358F"/>
    <w:rsid w:val="00B54846"/>
    <w:rsid w:val="00B55A59"/>
    <w:rsid w:val="00B56F5E"/>
    <w:rsid w:val="00B62F54"/>
    <w:rsid w:val="00B6594F"/>
    <w:rsid w:val="00B675FB"/>
    <w:rsid w:val="00B67B4E"/>
    <w:rsid w:val="00B71D3F"/>
    <w:rsid w:val="00B733A6"/>
    <w:rsid w:val="00B76D58"/>
    <w:rsid w:val="00B81A97"/>
    <w:rsid w:val="00B85593"/>
    <w:rsid w:val="00B92810"/>
    <w:rsid w:val="00B96FD9"/>
    <w:rsid w:val="00BA0E07"/>
    <w:rsid w:val="00BA0EAA"/>
    <w:rsid w:val="00BA2449"/>
    <w:rsid w:val="00BB01F3"/>
    <w:rsid w:val="00BB17BC"/>
    <w:rsid w:val="00BB19EF"/>
    <w:rsid w:val="00BB4A28"/>
    <w:rsid w:val="00BC0898"/>
    <w:rsid w:val="00BC4768"/>
    <w:rsid w:val="00BD36F2"/>
    <w:rsid w:val="00BD7B5F"/>
    <w:rsid w:val="00BE36A3"/>
    <w:rsid w:val="00BF2959"/>
    <w:rsid w:val="00BF4364"/>
    <w:rsid w:val="00BF7914"/>
    <w:rsid w:val="00C00161"/>
    <w:rsid w:val="00C02FA2"/>
    <w:rsid w:val="00C02FFC"/>
    <w:rsid w:val="00C078F3"/>
    <w:rsid w:val="00C12B02"/>
    <w:rsid w:val="00C14F3A"/>
    <w:rsid w:val="00C15AD9"/>
    <w:rsid w:val="00C161ED"/>
    <w:rsid w:val="00C21AF4"/>
    <w:rsid w:val="00C3192B"/>
    <w:rsid w:val="00C32930"/>
    <w:rsid w:val="00C32B48"/>
    <w:rsid w:val="00C445B8"/>
    <w:rsid w:val="00C44C3A"/>
    <w:rsid w:val="00C45D4A"/>
    <w:rsid w:val="00C51A6D"/>
    <w:rsid w:val="00C5238B"/>
    <w:rsid w:val="00C532E8"/>
    <w:rsid w:val="00C5703B"/>
    <w:rsid w:val="00C570BF"/>
    <w:rsid w:val="00C607FF"/>
    <w:rsid w:val="00C64035"/>
    <w:rsid w:val="00C65891"/>
    <w:rsid w:val="00C6659D"/>
    <w:rsid w:val="00C7410B"/>
    <w:rsid w:val="00C742B2"/>
    <w:rsid w:val="00C764E1"/>
    <w:rsid w:val="00C77660"/>
    <w:rsid w:val="00C8030A"/>
    <w:rsid w:val="00C82729"/>
    <w:rsid w:val="00C84C81"/>
    <w:rsid w:val="00C87061"/>
    <w:rsid w:val="00C872E3"/>
    <w:rsid w:val="00C9452B"/>
    <w:rsid w:val="00C972F6"/>
    <w:rsid w:val="00C975F2"/>
    <w:rsid w:val="00C97BEC"/>
    <w:rsid w:val="00CA1C44"/>
    <w:rsid w:val="00CA36D3"/>
    <w:rsid w:val="00CA3D28"/>
    <w:rsid w:val="00CB0C3C"/>
    <w:rsid w:val="00CB1E84"/>
    <w:rsid w:val="00CB2FEF"/>
    <w:rsid w:val="00CB324A"/>
    <w:rsid w:val="00CC2DB6"/>
    <w:rsid w:val="00CC3A5C"/>
    <w:rsid w:val="00CC48C8"/>
    <w:rsid w:val="00CC53A6"/>
    <w:rsid w:val="00CE065F"/>
    <w:rsid w:val="00CE1224"/>
    <w:rsid w:val="00CE38FD"/>
    <w:rsid w:val="00CE5F00"/>
    <w:rsid w:val="00CE65E1"/>
    <w:rsid w:val="00CF09C9"/>
    <w:rsid w:val="00CF0FA7"/>
    <w:rsid w:val="00CF152C"/>
    <w:rsid w:val="00CF2154"/>
    <w:rsid w:val="00CF2C81"/>
    <w:rsid w:val="00CF32C0"/>
    <w:rsid w:val="00D01A65"/>
    <w:rsid w:val="00D03E8B"/>
    <w:rsid w:val="00D13756"/>
    <w:rsid w:val="00D17E3F"/>
    <w:rsid w:val="00D22B36"/>
    <w:rsid w:val="00D2735F"/>
    <w:rsid w:val="00D27DE7"/>
    <w:rsid w:val="00D30AF3"/>
    <w:rsid w:val="00D33DD2"/>
    <w:rsid w:val="00D35914"/>
    <w:rsid w:val="00D45060"/>
    <w:rsid w:val="00D4512A"/>
    <w:rsid w:val="00D5047F"/>
    <w:rsid w:val="00D51665"/>
    <w:rsid w:val="00D539A5"/>
    <w:rsid w:val="00D55AED"/>
    <w:rsid w:val="00D55CE7"/>
    <w:rsid w:val="00D569D6"/>
    <w:rsid w:val="00D65B15"/>
    <w:rsid w:val="00D717A6"/>
    <w:rsid w:val="00D7279A"/>
    <w:rsid w:val="00D76A21"/>
    <w:rsid w:val="00D80C3E"/>
    <w:rsid w:val="00D848BA"/>
    <w:rsid w:val="00D857C3"/>
    <w:rsid w:val="00D9043E"/>
    <w:rsid w:val="00D929C2"/>
    <w:rsid w:val="00D95E85"/>
    <w:rsid w:val="00DB2789"/>
    <w:rsid w:val="00DB6210"/>
    <w:rsid w:val="00DB68DF"/>
    <w:rsid w:val="00DC001D"/>
    <w:rsid w:val="00DC09F4"/>
    <w:rsid w:val="00DC688E"/>
    <w:rsid w:val="00DC7118"/>
    <w:rsid w:val="00DD17E4"/>
    <w:rsid w:val="00DD1E39"/>
    <w:rsid w:val="00DD61EF"/>
    <w:rsid w:val="00DE0895"/>
    <w:rsid w:val="00DE152F"/>
    <w:rsid w:val="00DE315C"/>
    <w:rsid w:val="00DF0CAF"/>
    <w:rsid w:val="00DF1F53"/>
    <w:rsid w:val="00DF3429"/>
    <w:rsid w:val="00DF4FFC"/>
    <w:rsid w:val="00DF55CF"/>
    <w:rsid w:val="00DF686A"/>
    <w:rsid w:val="00E03BC4"/>
    <w:rsid w:val="00E03EEB"/>
    <w:rsid w:val="00E0702A"/>
    <w:rsid w:val="00E14751"/>
    <w:rsid w:val="00E14907"/>
    <w:rsid w:val="00E22A2B"/>
    <w:rsid w:val="00E25D5E"/>
    <w:rsid w:val="00E25F55"/>
    <w:rsid w:val="00E308F1"/>
    <w:rsid w:val="00E30AB5"/>
    <w:rsid w:val="00E32FC5"/>
    <w:rsid w:val="00E33D65"/>
    <w:rsid w:val="00E34641"/>
    <w:rsid w:val="00E35566"/>
    <w:rsid w:val="00E37457"/>
    <w:rsid w:val="00E37E77"/>
    <w:rsid w:val="00E51E07"/>
    <w:rsid w:val="00E52B31"/>
    <w:rsid w:val="00E5509C"/>
    <w:rsid w:val="00E66A4D"/>
    <w:rsid w:val="00E67244"/>
    <w:rsid w:val="00E75DD6"/>
    <w:rsid w:val="00E828AC"/>
    <w:rsid w:val="00E835F4"/>
    <w:rsid w:val="00E93ADF"/>
    <w:rsid w:val="00E95F38"/>
    <w:rsid w:val="00E97034"/>
    <w:rsid w:val="00EA3AD2"/>
    <w:rsid w:val="00EA6084"/>
    <w:rsid w:val="00EB12E9"/>
    <w:rsid w:val="00EB2F4F"/>
    <w:rsid w:val="00EB4180"/>
    <w:rsid w:val="00EB4EA2"/>
    <w:rsid w:val="00EB4F85"/>
    <w:rsid w:val="00EB5468"/>
    <w:rsid w:val="00EC115F"/>
    <w:rsid w:val="00EC7E7C"/>
    <w:rsid w:val="00ED2AD6"/>
    <w:rsid w:val="00ED51DE"/>
    <w:rsid w:val="00ED5FB9"/>
    <w:rsid w:val="00ED6627"/>
    <w:rsid w:val="00ED768C"/>
    <w:rsid w:val="00EE45FB"/>
    <w:rsid w:val="00EE5E12"/>
    <w:rsid w:val="00EE654B"/>
    <w:rsid w:val="00EF1B24"/>
    <w:rsid w:val="00F01888"/>
    <w:rsid w:val="00F0275B"/>
    <w:rsid w:val="00F037BE"/>
    <w:rsid w:val="00F038AA"/>
    <w:rsid w:val="00F03D57"/>
    <w:rsid w:val="00F046BF"/>
    <w:rsid w:val="00F055B4"/>
    <w:rsid w:val="00F12F9E"/>
    <w:rsid w:val="00F13BA2"/>
    <w:rsid w:val="00F16483"/>
    <w:rsid w:val="00F16BE4"/>
    <w:rsid w:val="00F17664"/>
    <w:rsid w:val="00F2604A"/>
    <w:rsid w:val="00F32FD7"/>
    <w:rsid w:val="00F36B99"/>
    <w:rsid w:val="00F419DB"/>
    <w:rsid w:val="00F4465D"/>
    <w:rsid w:val="00F5064C"/>
    <w:rsid w:val="00F62478"/>
    <w:rsid w:val="00F63658"/>
    <w:rsid w:val="00F63DAF"/>
    <w:rsid w:val="00F6784D"/>
    <w:rsid w:val="00F67F0C"/>
    <w:rsid w:val="00F70DAB"/>
    <w:rsid w:val="00F743E6"/>
    <w:rsid w:val="00F802AA"/>
    <w:rsid w:val="00F87ED7"/>
    <w:rsid w:val="00F925E6"/>
    <w:rsid w:val="00F93BA0"/>
    <w:rsid w:val="00F93E4F"/>
    <w:rsid w:val="00FA39C0"/>
    <w:rsid w:val="00FA4259"/>
    <w:rsid w:val="00FA49A9"/>
    <w:rsid w:val="00FA6675"/>
    <w:rsid w:val="00FB2467"/>
    <w:rsid w:val="00FB5D06"/>
    <w:rsid w:val="00FC2568"/>
    <w:rsid w:val="00FC2833"/>
    <w:rsid w:val="00FC392F"/>
    <w:rsid w:val="00FC4F9C"/>
    <w:rsid w:val="00FC60DA"/>
    <w:rsid w:val="00FE46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BB386"/>
  <w15:docId w15:val="{372EEA9D-0743-4DC1-8D0E-E35F066D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5991"/>
    <w:pPr>
      <w:overflowPunct w:val="0"/>
      <w:autoSpaceDE w:val="0"/>
      <w:autoSpaceDN w:val="0"/>
      <w:adjustRightInd w:val="0"/>
      <w:textAlignment w:val="baseline"/>
    </w:pPr>
  </w:style>
  <w:style w:type="paragraph" w:styleId="Titolo1">
    <w:name w:val="heading 1"/>
    <w:basedOn w:val="Normale"/>
    <w:next w:val="Normale"/>
    <w:qFormat/>
    <w:rsid w:val="00705991"/>
    <w:pPr>
      <w:keepNext/>
      <w:spacing w:before="240" w:after="60"/>
      <w:outlineLvl w:val="0"/>
    </w:pPr>
    <w:rPr>
      <w:rFonts w:ascii="Arial" w:hAnsi="Arial"/>
      <w:b/>
      <w:kern w:val="28"/>
      <w:sz w:val="28"/>
    </w:rPr>
  </w:style>
  <w:style w:type="paragraph" w:styleId="Titolo2">
    <w:name w:val="heading 2"/>
    <w:basedOn w:val="Normale"/>
    <w:next w:val="Normale"/>
    <w:qFormat/>
    <w:rsid w:val="00705991"/>
    <w:pPr>
      <w:keepNext/>
      <w:spacing w:before="240" w:after="60"/>
      <w:outlineLvl w:val="1"/>
    </w:pPr>
    <w:rPr>
      <w:rFonts w:ascii="Arial" w:hAnsi="Arial"/>
      <w:b/>
      <w:i/>
      <w:sz w:val="24"/>
    </w:rPr>
  </w:style>
  <w:style w:type="paragraph" w:styleId="Titolo3">
    <w:name w:val="heading 3"/>
    <w:basedOn w:val="Normale"/>
    <w:next w:val="Normale"/>
    <w:qFormat/>
    <w:rsid w:val="00705991"/>
    <w:pPr>
      <w:keepNext/>
      <w:spacing w:before="240" w:after="60"/>
      <w:outlineLvl w:val="2"/>
    </w:pPr>
    <w:rPr>
      <w:b/>
      <w:sz w:val="24"/>
    </w:rPr>
  </w:style>
  <w:style w:type="paragraph" w:styleId="Titolo4">
    <w:name w:val="heading 4"/>
    <w:basedOn w:val="Normale"/>
    <w:next w:val="Normale"/>
    <w:link w:val="Titolo4Carattere"/>
    <w:qFormat/>
    <w:rsid w:val="00705991"/>
    <w:pPr>
      <w:keepNext/>
      <w:ind w:left="567" w:right="140" w:firstLine="5670"/>
      <w:jc w:val="right"/>
      <w:outlineLvl w:val="3"/>
    </w:pPr>
    <w:rPr>
      <w:sz w:val="24"/>
      <w:u w:val="single"/>
    </w:rPr>
  </w:style>
  <w:style w:type="paragraph" w:styleId="Titolo5">
    <w:name w:val="heading 5"/>
    <w:basedOn w:val="Normale"/>
    <w:next w:val="Normale"/>
    <w:qFormat/>
    <w:rsid w:val="00705991"/>
    <w:pPr>
      <w:keepNext/>
      <w:ind w:left="567" w:right="140" w:firstLine="5670"/>
      <w:jc w:val="both"/>
      <w:outlineLvl w:val="4"/>
    </w:pPr>
    <w:rPr>
      <w:sz w:val="24"/>
      <w:lang w:val="de-DE"/>
    </w:rPr>
  </w:style>
  <w:style w:type="paragraph" w:styleId="Titolo6">
    <w:name w:val="heading 6"/>
    <w:basedOn w:val="Normale"/>
    <w:next w:val="Normale"/>
    <w:qFormat/>
    <w:rsid w:val="00705991"/>
    <w:pPr>
      <w:keepNext/>
      <w:ind w:left="1560" w:right="140" w:hanging="851"/>
      <w:jc w:val="both"/>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rsid w:val="00705991"/>
    <w:pPr>
      <w:ind w:left="3545" w:right="140" w:firstLine="709"/>
      <w:jc w:val="both"/>
    </w:pPr>
    <w:rPr>
      <w:sz w:val="24"/>
    </w:rPr>
  </w:style>
  <w:style w:type="paragraph" w:customStyle="1" w:styleId="Corpodeltesto21">
    <w:name w:val="Corpo del testo 21"/>
    <w:basedOn w:val="Normale"/>
    <w:rsid w:val="00705991"/>
    <w:pPr>
      <w:ind w:left="993" w:hanging="284"/>
    </w:pPr>
    <w:rPr>
      <w:sz w:val="24"/>
    </w:rPr>
  </w:style>
  <w:style w:type="paragraph" w:customStyle="1" w:styleId="Rientrocorpodeltesto21">
    <w:name w:val="Rientro corpo del testo 21"/>
    <w:basedOn w:val="Normale"/>
    <w:rsid w:val="00705991"/>
    <w:pPr>
      <w:ind w:left="709"/>
      <w:jc w:val="both"/>
    </w:pPr>
    <w:rPr>
      <w:sz w:val="24"/>
    </w:rPr>
  </w:style>
  <w:style w:type="paragraph" w:styleId="Testofumetto">
    <w:name w:val="Balloon Text"/>
    <w:basedOn w:val="Normale"/>
    <w:semiHidden/>
    <w:rsid w:val="00200A25"/>
    <w:rPr>
      <w:rFonts w:ascii="Tahoma" w:hAnsi="Tahoma" w:cs="Tahoma"/>
      <w:sz w:val="16"/>
      <w:szCs w:val="16"/>
    </w:rPr>
  </w:style>
  <w:style w:type="paragraph" w:customStyle="1" w:styleId="Testodelblocco11">
    <w:name w:val="Testo del blocco11"/>
    <w:basedOn w:val="Normale"/>
    <w:rsid w:val="001E253C"/>
    <w:pPr>
      <w:ind w:left="3545" w:right="140" w:firstLine="709"/>
      <w:jc w:val="both"/>
    </w:pPr>
    <w:rPr>
      <w:sz w:val="24"/>
    </w:rPr>
  </w:style>
  <w:style w:type="character" w:customStyle="1" w:styleId="Titolo4Carattere">
    <w:name w:val="Titolo 4 Carattere"/>
    <w:basedOn w:val="Carpredefinitoparagrafo"/>
    <w:link w:val="Titolo4"/>
    <w:rsid w:val="00831BD1"/>
    <w:rPr>
      <w:sz w:val="24"/>
      <w:u w:val="single"/>
    </w:rPr>
  </w:style>
  <w:style w:type="paragraph" w:customStyle="1" w:styleId="rgscorpodeltesto">
    <w:name w:val="rgs_corpodeltesto"/>
    <w:rsid w:val="00A65875"/>
    <w:pPr>
      <w:spacing w:after="120" w:line="360" w:lineRule="auto"/>
      <w:ind w:firstLine="799"/>
      <w:jc w:val="both"/>
    </w:pPr>
    <w:rPr>
      <w:sz w:val="24"/>
      <w:lang w:bidi="he-IL"/>
    </w:rPr>
  </w:style>
  <w:style w:type="table" w:styleId="Grigliatabella">
    <w:name w:val="Table Grid"/>
    <w:basedOn w:val="Tabellanormale"/>
    <w:rsid w:val="005D3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0D169F"/>
    <w:pPr>
      <w:tabs>
        <w:tab w:val="center" w:pos="4819"/>
        <w:tab w:val="right" w:pos="9638"/>
      </w:tabs>
    </w:pPr>
  </w:style>
  <w:style w:type="character" w:customStyle="1" w:styleId="IntestazioneCarattere">
    <w:name w:val="Intestazione Carattere"/>
    <w:basedOn w:val="Carpredefinitoparagrafo"/>
    <w:link w:val="Intestazione"/>
    <w:rsid w:val="000D169F"/>
  </w:style>
  <w:style w:type="paragraph" w:styleId="Pidipagina">
    <w:name w:val="footer"/>
    <w:basedOn w:val="Normale"/>
    <w:link w:val="PidipaginaCarattere"/>
    <w:uiPriority w:val="99"/>
    <w:rsid w:val="000D169F"/>
    <w:pPr>
      <w:tabs>
        <w:tab w:val="center" w:pos="4819"/>
        <w:tab w:val="right" w:pos="9638"/>
      </w:tabs>
    </w:pPr>
  </w:style>
  <w:style w:type="character" w:customStyle="1" w:styleId="PidipaginaCarattere">
    <w:name w:val="Piè di pagina Carattere"/>
    <w:basedOn w:val="Carpredefinitoparagrafo"/>
    <w:link w:val="Pidipagina"/>
    <w:uiPriority w:val="99"/>
    <w:rsid w:val="000D169F"/>
  </w:style>
  <w:style w:type="paragraph" w:customStyle="1" w:styleId="provvr0">
    <w:name w:val="provv_r0"/>
    <w:basedOn w:val="Normale"/>
    <w:rsid w:val="00676092"/>
    <w:pPr>
      <w:overflowPunct/>
      <w:autoSpaceDE/>
      <w:autoSpaceDN/>
      <w:adjustRightInd/>
      <w:spacing w:before="100" w:beforeAutospacing="1" w:after="100" w:afterAutospacing="1"/>
      <w:jc w:val="both"/>
      <w:textAlignment w:val="auto"/>
    </w:pPr>
    <w:rPr>
      <w:sz w:val="24"/>
      <w:szCs w:val="24"/>
    </w:rPr>
  </w:style>
  <w:style w:type="paragraph" w:styleId="NormaleWeb">
    <w:name w:val="Normal (Web)"/>
    <w:basedOn w:val="Normale"/>
    <w:uiPriority w:val="99"/>
    <w:unhideWhenUsed/>
    <w:rsid w:val="00BB17BC"/>
    <w:pPr>
      <w:overflowPunct/>
      <w:autoSpaceDE/>
      <w:autoSpaceDN/>
      <w:adjustRightInd/>
      <w:spacing w:before="100" w:beforeAutospacing="1" w:after="100" w:afterAutospacing="1"/>
      <w:textAlignment w:val="auto"/>
    </w:pPr>
    <w:rPr>
      <w:sz w:val="24"/>
      <w:szCs w:val="24"/>
    </w:rPr>
  </w:style>
  <w:style w:type="paragraph" w:customStyle="1" w:styleId="sentnormal">
    <w:name w:val="sent_normal"/>
    <w:basedOn w:val="Normale"/>
    <w:rsid w:val="00D17E3F"/>
    <w:pPr>
      <w:overflowPunct/>
      <w:autoSpaceDE/>
      <w:autoSpaceDN/>
      <w:adjustRightInd/>
      <w:spacing w:before="100" w:beforeAutospacing="1" w:after="100" w:afterAutospacing="1"/>
      <w:jc w:val="both"/>
      <w:textAlignment w:val="auto"/>
    </w:pPr>
    <w:rPr>
      <w:sz w:val="24"/>
      <w:szCs w:val="24"/>
    </w:rPr>
  </w:style>
  <w:style w:type="paragraph" w:styleId="Paragrafoelenco">
    <w:name w:val="List Paragraph"/>
    <w:basedOn w:val="Normale"/>
    <w:uiPriority w:val="1"/>
    <w:qFormat/>
    <w:rsid w:val="00AF3758"/>
    <w:pPr>
      <w:ind w:left="720"/>
      <w:contextualSpacing/>
    </w:pPr>
  </w:style>
  <w:style w:type="character" w:customStyle="1" w:styleId="rgshead2">
    <w:name w:val="rgs_head2"/>
    <w:autoRedefine/>
    <w:rsid w:val="00693EBC"/>
    <w:rPr>
      <w:rFonts w:ascii="Palace Script MT" w:hAnsi="Palace Script MT"/>
      <w:sz w:val="48"/>
    </w:rPr>
  </w:style>
  <w:style w:type="character" w:customStyle="1" w:styleId="z-label1">
    <w:name w:val="z-label1"/>
    <w:basedOn w:val="Carpredefinitoparagrafo"/>
    <w:rsid w:val="001A7119"/>
    <w:rPr>
      <w:rFonts w:ascii="Arial" w:hAnsi="Arial" w:cs="Arial" w:hint="default"/>
      <w:b w:val="0"/>
      <w:bCs w:val="0"/>
      <w:sz w:val="18"/>
      <w:szCs w:val="18"/>
    </w:rPr>
  </w:style>
  <w:style w:type="paragraph" w:customStyle="1" w:styleId="rgsufficio1">
    <w:name w:val="rgs_ufficio1"/>
    <w:basedOn w:val="Normale"/>
    <w:rsid w:val="006D03D3"/>
    <w:pPr>
      <w:framePr w:w="5800" w:h="3264" w:hSpace="180" w:wrap="around" w:vAnchor="text" w:hAnchor="page" w:x="509" w:y="-1362"/>
      <w:overflowPunct/>
      <w:autoSpaceDE/>
      <w:autoSpaceDN/>
      <w:adjustRightInd/>
      <w:jc w:val="center"/>
      <w:textAlignment w:val="auto"/>
    </w:pPr>
    <w:rPr>
      <w:smallCaps/>
      <w:sz w:val="16"/>
    </w:rPr>
  </w:style>
  <w:style w:type="paragraph" w:styleId="Corpodeltesto2">
    <w:name w:val="Body Text 2"/>
    <w:basedOn w:val="Normale"/>
    <w:link w:val="Corpodeltesto2Carattere"/>
    <w:rsid w:val="006D03D3"/>
    <w:pPr>
      <w:framePr w:w="5296" w:h="2990" w:hSpace="181" w:wrap="around" w:vAnchor="page" w:hAnchor="page" w:x="408" w:y="705" w:anchorLock="1"/>
      <w:overflowPunct/>
      <w:autoSpaceDE/>
      <w:autoSpaceDN/>
      <w:adjustRightInd/>
      <w:jc w:val="center"/>
      <w:textAlignment w:val="auto"/>
    </w:pPr>
    <w:rPr>
      <w:smallCaps/>
      <w:sz w:val="22"/>
    </w:rPr>
  </w:style>
  <w:style w:type="character" w:customStyle="1" w:styleId="Corpodeltesto2Carattere">
    <w:name w:val="Corpo del testo 2 Carattere"/>
    <w:basedOn w:val="Carpredefinitoparagrafo"/>
    <w:link w:val="Corpodeltesto2"/>
    <w:rsid w:val="006D03D3"/>
    <w:rPr>
      <w:smallCaps/>
      <w:sz w:val="22"/>
    </w:rPr>
  </w:style>
  <w:style w:type="paragraph" w:styleId="Rientrocorpodeltesto2">
    <w:name w:val="Body Text Indent 2"/>
    <w:basedOn w:val="Normale"/>
    <w:link w:val="Rientrocorpodeltesto2Carattere"/>
    <w:rsid w:val="000B0CB6"/>
    <w:pPr>
      <w:spacing w:after="120" w:line="480" w:lineRule="auto"/>
      <w:ind w:left="283"/>
    </w:pPr>
  </w:style>
  <w:style w:type="character" w:customStyle="1" w:styleId="Rientrocorpodeltesto2Carattere">
    <w:name w:val="Rientro corpo del testo 2 Carattere"/>
    <w:basedOn w:val="Carpredefinitoparagrafo"/>
    <w:link w:val="Rientrocorpodeltesto2"/>
    <w:rsid w:val="000B0CB6"/>
  </w:style>
  <w:style w:type="paragraph" w:customStyle="1" w:styleId="destinatari1">
    <w:name w:val="destinatari1"/>
    <w:rsid w:val="00E67244"/>
    <w:pPr>
      <w:ind w:left="782" w:hanging="782"/>
    </w:pPr>
    <w:rPr>
      <w:sz w:val="24"/>
      <w:lang w:bidi="he-IL"/>
    </w:rPr>
  </w:style>
  <w:style w:type="paragraph" w:styleId="Testonotadichiusura">
    <w:name w:val="endnote text"/>
    <w:basedOn w:val="Normale"/>
    <w:link w:val="TestonotadichiusuraCarattere"/>
    <w:uiPriority w:val="99"/>
    <w:unhideWhenUsed/>
    <w:rsid w:val="005E19CE"/>
    <w:pPr>
      <w:overflowPunct/>
      <w:autoSpaceDE/>
      <w:autoSpaceDN/>
      <w:adjustRightInd/>
      <w:textAlignment w:val="auto"/>
    </w:pPr>
    <w:rPr>
      <w:rFonts w:asciiTheme="minorHAnsi" w:eastAsiaTheme="minorHAnsi" w:hAnsiTheme="minorHAnsi" w:cstheme="minorBidi"/>
      <w:lang w:eastAsia="en-US"/>
    </w:rPr>
  </w:style>
  <w:style w:type="character" w:customStyle="1" w:styleId="TestonotadichiusuraCarattere">
    <w:name w:val="Testo nota di chiusura Carattere"/>
    <w:basedOn w:val="Carpredefinitoparagrafo"/>
    <w:link w:val="Testonotadichiusura"/>
    <w:uiPriority w:val="99"/>
    <w:rsid w:val="005E19CE"/>
    <w:rPr>
      <w:rFonts w:asciiTheme="minorHAnsi" w:eastAsiaTheme="minorHAnsi" w:hAnsiTheme="minorHAnsi" w:cstheme="minorBidi"/>
      <w:lang w:eastAsia="en-US"/>
    </w:rPr>
  </w:style>
  <w:style w:type="character" w:styleId="Collegamentoipertestuale">
    <w:name w:val="Hyperlink"/>
    <w:basedOn w:val="Carpredefinitoparagrafo"/>
    <w:unhideWhenUsed/>
    <w:rsid w:val="005E19CE"/>
    <w:rPr>
      <w:color w:val="0000FF" w:themeColor="hyperlink"/>
      <w:u w:val="single"/>
    </w:rPr>
  </w:style>
  <w:style w:type="character" w:customStyle="1" w:styleId="UnresolvedMention">
    <w:name w:val="Unresolved Mention"/>
    <w:basedOn w:val="Carpredefinitoparagrafo"/>
    <w:uiPriority w:val="99"/>
    <w:semiHidden/>
    <w:unhideWhenUsed/>
    <w:rsid w:val="005E19CE"/>
    <w:rPr>
      <w:color w:val="605E5C"/>
      <w:shd w:val="clear" w:color="auto" w:fill="E1DFDD"/>
    </w:rPr>
  </w:style>
  <w:style w:type="character" w:styleId="Rimandocommento">
    <w:name w:val="annotation reference"/>
    <w:basedOn w:val="Carpredefinitoparagrafo"/>
    <w:semiHidden/>
    <w:unhideWhenUsed/>
    <w:rsid w:val="00387615"/>
    <w:rPr>
      <w:sz w:val="16"/>
      <w:szCs w:val="16"/>
    </w:rPr>
  </w:style>
  <w:style w:type="paragraph" w:styleId="Testocommento">
    <w:name w:val="annotation text"/>
    <w:basedOn w:val="Normale"/>
    <w:link w:val="TestocommentoCarattere"/>
    <w:semiHidden/>
    <w:unhideWhenUsed/>
    <w:rsid w:val="00387615"/>
  </w:style>
  <w:style w:type="character" w:customStyle="1" w:styleId="TestocommentoCarattere">
    <w:name w:val="Testo commento Carattere"/>
    <w:basedOn w:val="Carpredefinitoparagrafo"/>
    <w:link w:val="Testocommento"/>
    <w:semiHidden/>
    <w:rsid w:val="00387615"/>
  </w:style>
  <w:style w:type="paragraph" w:styleId="Soggettocommento">
    <w:name w:val="annotation subject"/>
    <w:basedOn w:val="Testocommento"/>
    <w:next w:val="Testocommento"/>
    <w:link w:val="SoggettocommentoCarattere"/>
    <w:semiHidden/>
    <w:unhideWhenUsed/>
    <w:rsid w:val="00387615"/>
    <w:rPr>
      <w:b/>
      <w:bCs/>
    </w:rPr>
  </w:style>
  <w:style w:type="character" w:customStyle="1" w:styleId="SoggettocommentoCarattere">
    <w:name w:val="Soggetto commento Carattere"/>
    <w:basedOn w:val="TestocommentoCarattere"/>
    <w:link w:val="Soggettocommento"/>
    <w:semiHidden/>
    <w:rsid w:val="00387615"/>
    <w:rPr>
      <w:b/>
      <w:bCs/>
    </w:rPr>
  </w:style>
  <w:style w:type="paragraph" w:styleId="Revisione">
    <w:name w:val="Revision"/>
    <w:hidden/>
    <w:uiPriority w:val="99"/>
    <w:semiHidden/>
    <w:rsid w:val="000B0C6D"/>
  </w:style>
  <w:style w:type="paragraph" w:styleId="Corpotesto">
    <w:name w:val="Body Text"/>
    <w:basedOn w:val="Normale"/>
    <w:link w:val="CorpotestoCarattere"/>
    <w:unhideWhenUsed/>
    <w:rsid w:val="007719B8"/>
    <w:pPr>
      <w:spacing w:after="120"/>
    </w:pPr>
  </w:style>
  <w:style w:type="character" w:customStyle="1" w:styleId="CorpotestoCarattere">
    <w:name w:val="Corpo testo Carattere"/>
    <w:basedOn w:val="Carpredefinitoparagrafo"/>
    <w:link w:val="Corpotesto"/>
    <w:rsid w:val="007719B8"/>
  </w:style>
  <w:style w:type="character" w:customStyle="1" w:styleId="noteevidenza">
    <w:name w:val="noteevidenza"/>
    <w:basedOn w:val="Carpredefinitoparagrafo"/>
    <w:rsid w:val="0007236A"/>
  </w:style>
  <w:style w:type="paragraph" w:styleId="PreformattatoHTML">
    <w:name w:val="HTML Preformatted"/>
    <w:basedOn w:val="Normale"/>
    <w:link w:val="PreformattatoHTMLCarattere"/>
    <w:uiPriority w:val="99"/>
    <w:unhideWhenUsed/>
    <w:rsid w:val="00C8030A"/>
    <w:pPr>
      <w:widowControl w:val="0"/>
      <w:overflowPunct/>
      <w:adjustRightInd/>
      <w:textAlignment w:val="auto"/>
    </w:pPr>
    <w:rPr>
      <w:rFonts w:ascii="Consolas" w:hAnsi="Consolas"/>
      <w:lang w:val="en-US" w:eastAsia="en-US"/>
    </w:rPr>
  </w:style>
  <w:style w:type="character" w:customStyle="1" w:styleId="PreformattatoHTMLCarattere">
    <w:name w:val="Preformattato HTML Carattere"/>
    <w:basedOn w:val="Carpredefinitoparagrafo"/>
    <w:link w:val="PreformattatoHTML"/>
    <w:uiPriority w:val="99"/>
    <w:rsid w:val="00C8030A"/>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190">
      <w:bodyDiv w:val="1"/>
      <w:marLeft w:val="0"/>
      <w:marRight w:val="0"/>
      <w:marTop w:val="0"/>
      <w:marBottom w:val="0"/>
      <w:divBdr>
        <w:top w:val="none" w:sz="0" w:space="0" w:color="auto"/>
        <w:left w:val="none" w:sz="0" w:space="0" w:color="auto"/>
        <w:bottom w:val="none" w:sz="0" w:space="0" w:color="auto"/>
        <w:right w:val="none" w:sz="0" w:space="0" w:color="auto"/>
      </w:divBdr>
    </w:div>
    <w:div w:id="39791529">
      <w:bodyDiv w:val="1"/>
      <w:marLeft w:val="0"/>
      <w:marRight w:val="0"/>
      <w:marTop w:val="0"/>
      <w:marBottom w:val="0"/>
      <w:divBdr>
        <w:top w:val="none" w:sz="0" w:space="0" w:color="auto"/>
        <w:left w:val="none" w:sz="0" w:space="0" w:color="auto"/>
        <w:bottom w:val="none" w:sz="0" w:space="0" w:color="auto"/>
        <w:right w:val="none" w:sz="0" w:space="0" w:color="auto"/>
      </w:divBdr>
    </w:div>
    <w:div w:id="184053528">
      <w:bodyDiv w:val="1"/>
      <w:marLeft w:val="0"/>
      <w:marRight w:val="0"/>
      <w:marTop w:val="0"/>
      <w:marBottom w:val="0"/>
      <w:divBdr>
        <w:top w:val="none" w:sz="0" w:space="0" w:color="auto"/>
        <w:left w:val="none" w:sz="0" w:space="0" w:color="auto"/>
        <w:bottom w:val="none" w:sz="0" w:space="0" w:color="auto"/>
        <w:right w:val="none" w:sz="0" w:space="0" w:color="auto"/>
      </w:divBdr>
    </w:div>
    <w:div w:id="288559589">
      <w:bodyDiv w:val="1"/>
      <w:marLeft w:val="0"/>
      <w:marRight w:val="0"/>
      <w:marTop w:val="0"/>
      <w:marBottom w:val="0"/>
      <w:divBdr>
        <w:top w:val="none" w:sz="0" w:space="0" w:color="auto"/>
        <w:left w:val="none" w:sz="0" w:space="0" w:color="auto"/>
        <w:bottom w:val="none" w:sz="0" w:space="0" w:color="auto"/>
        <w:right w:val="none" w:sz="0" w:space="0" w:color="auto"/>
      </w:divBdr>
    </w:div>
    <w:div w:id="303122396">
      <w:bodyDiv w:val="1"/>
      <w:marLeft w:val="0"/>
      <w:marRight w:val="0"/>
      <w:marTop w:val="0"/>
      <w:marBottom w:val="0"/>
      <w:divBdr>
        <w:top w:val="none" w:sz="0" w:space="0" w:color="auto"/>
        <w:left w:val="none" w:sz="0" w:space="0" w:color="auto"/>
        <w:bottom w:val="none" w:sz="0" w:space="0" w:color="auto"/>
        <w:right w:val="none" w:sz="0" w:space="0" w:color="auto"/>
      </w:divBdr>
      <w:divsChild>
        <w:div w:id="999968694">
          <w:marLeft w:val="0"/>
          <w:marRight w:val="0"/>
          <w:marTop w:val="0"/>
          <w:marBottom w:val="0"/>
          <w:divBdr>
            <w:top w:val="none" w:sz="0" w:space="0" w:color="auto"/>
            <w:left w:val="none" w:sz="0" w:space="0" w:color="auto"/>
            <w:bottom w:val="none" w:sz="0" w:space="0" w:color="auto"/>
            <w:right w:val="none" w:sz="0" w:space="0" w:color="auto"/>
          </w:divBdr>
          <w:divsChild>
            <w:div w:id="1185174972">
              <w:marLeft w:val="-90"/>
              <w:marRight w:val="-90"/>
              <w:marTop w:val="0"/>
              <w:marBottom w:val="0"/>
              <w:divBdr>
                <w:top w:val="none" w:sz="0" w:space="0" w:color="auto"/>
                <w:left w:val="none" w:sz="0" w:space="0" w:color="auto"/>
                <w:bottom w:val="none" w:sz="0" w:space="0" w:color="auto"/>
                <w:right w:val="none" w:sz="0" w:space="0" w:color="auto"/>
              </w:divBdr>
              <w:divsChild>
                <w:div w:id="16388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5281">
      <w:bodyDiv w:val="1"/>
      <w:marLeft w:val="0"/>
      <w:marRight w:val="0"/>
      <w:marTop w:val="0"/>
      <w:marBottom w:val="0"/>
      <w:divBdr>
        <w:top w:val="none" w:sz="0" w:space="0" w:color="auto"/>
        <w:left w:val="none" w:sz="0" w:space="0" w:color="auto"/>
        <w:bottom w:val="none" w:sz="0" w:space="0" w:color="auto"/>
        <w:right w:val="none" w:sz="0" w:space="0" w:color="auto"/>
      </w:divBdr>
    </w:div>
    <w:div w:id="589654210">
      <w:bodyDiv w:val="1"/>
      <w:marLeft w:val="0"/>
      <w:marRight w:val="0"/>
      <w:marTop w:val="0"/>
      <w:marBottom w:val="0"/>
      <w:divBdr>
        <w:top w:val="none" w:sz="0" w:space="0" w:color="auto"/>
        <w:left w:val="none" w:sz="0" w:space="0" w:color="auto"/>
        <w:bottom w:val="none" w:sz="0" w:space="0" w:color="auto"/>
        <w:right w:val="none" w:sz="0" w:space="0" w:color="auto"/>
      </w:divBdr>
    </w:div>
    <w:div w:id="853808336">
      <w:bodyDiv w:val="1"/>
      <w:marLeft w:val="0"/>
      <w:marRight w:val="0"/>
      <w:marTop w:val="0"/>
      <w:marBottom w:val="0"/>
      <w:divBdr>
        <w:top w:val="none" w:sz="0" w:space="0" w:color="auto"/>
        <w:left w:val="none" w:sz="0" w:space="0" w:color="auto"/>
        <w:bottom w:val="none" w:sz="0" w:space="0" w:color="auto"/>
        <w:right w:val="none" w:sz="0" w:space="0" w:color="auto"/>
      </w:divBdr>
    </w:div>
    <w:div w:id="909315090">
      <w:bodyDiv w:val="1"/>
      <w:marLeft w:val="0"/>
      <w:marRight w:val="0"/>
      <w:marTop w:val="0"/>
      <w:marBottom w:val="0"/>
      <w:divBdr>
        <w:top w:val="none" w:sz="0" w:space="0" w:color="auto"/>
        <w:left w:val="none" w:sz="0" w:space="0" w:color="auto"/>
        <w:bottom w:val="none" w:sz="0" w:space="0" w:color="auto"/>
        <w:right w:val="none" w:sz="0" w:space="0" w:color="auto"/>
      </w:divBdr>
    </w:div>
    <w:div w:id="933131902">
      <w:bodyDiv w:val="1"/>
      <w:marLeft w:val="0"/>
      <w:marRight w:val="0"/>
      <w:marTop w:val="0"/>
      <w:marBottom w:val="0"/>
      <w:divBdr>
        <w:top w:val="none" w:sz="0" w:space="0" w:color="auto"/>
        <w:left w:val="none" w:sz="0" w:space="0" w:color="auto"/>
        <w:bottom w:val="none" w:sz="0" w:space="0" w:color="auto"/>
        <w:right w:val="none" w:sz="0" w:space="0" w:color="auto"/>
      </w:divBdr>
    </w:div>
    <w:div w:id="961762892">
      <w:bodyDiv w:val="1"/>
      <w:marLeft w:val="0"/>
      <w:marRight w:val="0"/>
      <w:marTop w:val="0"/>
      <w:marBottom w:val="0"/>
      <w:divBdr>
        <w:top w:val="none" w:sz="0" w:space="0" w:color="auto"/>
        <w:left w:val="none" w:sz="0" w:space="0" w:color="auto"/>
        <w:bottom w:val="none" w:sz="0" w:space="0" w:color="auto"/>
        <w:right w:val="none" w:sz="0" w:space="0" w:color="auto"/>
      </w:divBdr>
    </w:div>
    <w:div w:id="988941267">
      <w:bodyDiv w:val="1"/>
      <w:marLeft w:val="0"/>
      <w:marRight w:val="0"/>
      <w:marTop w:val="0"/>
      <w:marBottom w:val="0"/>
      <w:divBdr>
        <w:top w:val="none" w:sz="0" w:space="0" w:color="auto"/>
        <w:left w:val="none" w:sz="0" w:space="0" w:color="auto"/>
        <w:bottom w:val="none" w:sz="0" w:space="0" w:color="auto"/>
        <w:right w:val="none" w:sz="0" w:space="0" w:color="auto"/>
      </w:divBdr>
    </w:div>
    <w:div w:id="999848455">
      <w:bodyDiv w:val="1"/>
      <w:marLeft w:val="0"/>
      <w:marRight w:val="0"/>
      <w:marTop w:val="0"/>
      <w:marBottom w:val="0"/>
      <w:divBdr>
        <w:top w:val="none" w:sz="0" w:space="0" w:color="auto"/>
        <w:left w:val="none" w:sz="0" w:space="0" w:color="auto"/>
        <w:bottom w:val="none" w:sz="0" w:space="0" w:color="auto"/>
        <w:right w:val="none" w:sz="0" w:space="0" w:color="auto"/>
      </w:divBdr>
    </w:div>
    <w:div w:id="1080369441">
      <w:bodyDiv w:val="1"/>
      <w:marLeft w:val="0"/>
      <w:marRight w:val="0"/>
      <w:marTop w:val="0"/>
      <w:marBottom w:val="0"/>
      <w:divBdr>
        <w:top w:val="none" w:sz="0" w:space="0" w:color="auto"/>
        <w:left w:val="none" w:sz="0" w:space="0" w:color="auto"/>
        <w:bottom w:val="none" w:sz="0" w:space="0" w:color="auto"/>
        <w:right w:val="none" w:sz="0" w:space="0" w:color="auto"/>
      </w:divBdr>
      <w:divsChild>
        <w:div w:id="1520437170">
          <w:marLeft w:val="0"/>
          <w:marRight w:val="0"/>
          <w:marTop w:val="0"/>
          <w:marBottom w:val="0"/>
          <w:divBdr>
            <w:top w:val="none" w:sz="0" w:space="0" w:color="auto"/>
            <w:left w:val="none" w:sz="0" w:space="0" w:color="auto"/>
            <w:bottom w:val="none" w:sz="0" w:space="0" w:color="auto"/>
            <w:right w:val="none" w:sz="0" w:space="0" w:color="auto"/>
          </w:divBdr>
          <w:divsChild>
            <w:div w:id="41752593">
              <w:marLeft w:val="-90"/>
              <w:marRight w:val="-90"/>
              <w:marTop w:val="0"/>
              <w:marBottom w:val="0"/>
              <w:divBdr>
                <w:top w:val="none" w:sz="0" w:space="0" w:color="auto"/>
                <w:left w:val="none" w:sz="0" w:space="0" w:color="auto"/>
                <w:bottom w:val="none" w:sz="0" w:space="0" w:color="auto"/>
                <w:right w:val="none" w:sz="0" w:space="0" w:color="auto"/>
              </w:divBdr>
              <w:divsChild>
                <w:div w:id="826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8041">
      <w:bodyDiv w:val="1"/>
      <w:marLeft w:val="0"/>
      <w:marRight w:val="0"/>
      <w:marTop w:val="0"/>
      <w:marBottom w:val="0"/>
      <w:divBdr>
        <w:top w:val="none" w:sz="0" w:space="0" w:color="auto"/>
        <w:left w:val="none" w:sz="0" w:space="0" w:color="auto"/>
        <w:bottom w:val="none" w:sz="0" w:space="0" w:color="auto"/>
        <w:right w:val="none" w:sz="0" w:space="0" w:color="auto"/>
      </w:divBdr>
    </w:div>
    <w:div w:id="1233664856">
      <w:bodyDiv w:val="1"/>
      <w:marLeft w:val="0"/>
      <w:marRight w:val="0"/>
      <w:marTop w:val="0"/>
      <w:marBottom w:val="0"/>
      <w:divBdr>
        <w:top w:val="none" w:sz="0" w:space="0" w:color="auto"/>
        <w:left w:val="none" w:sz="0" w:space="0" w:color="auto"/>
        <w:bottom w:val="none" w:sz="0" w:space="0" w:color="auto"/>
        <w:right w:val="none" w:sz="0" w:space="0" w:color="auto"/>
      </w:divBdr>
    </w:div>
    <w:div w:id="1479105923">
      <w:bodyDiv w:val="1"/>
      <w:marLeft w:val="0"/>
      <w:marRight w:val="0"/>
      <w:marTop w:val="0"/>
      <w:marBottom w:val="0"/>
      <w:divBdr>
        <w:top w:val="none" w:sz="0" w:space="0" w:color="auto"/>
        <w:left w:val="none" w:sz="0" w:space="0" w:color="auto"/>
        <w:bottom w:val="none" w:sz="0" w:space="0" w:color="auto"/>
        <w:right w:val="none" w:sz="0" w:space="0" w:color="auto"/>
      </w:divBdr>
    </w:div>
    <w:div w:id="1670451289">
      <w:bodyDiv w:val="1"/>
      <w:marLeft w:val="0"/>
      <w:marRight w:val="0"/>
      <w:marTop w:val="0"/>
      <w:marBottom w:val="0"/>
      <w:divBdr>
        <w:top w:val="none" w:sz="0" w:space="0" w:color="auto"/>
        <w:left w:val="none" w:sz="0" w:space="0" w:color="auto"/>
        <w:bottom w:val="none" w:sz="0" w:space="0" w:color="auto"/>
        <w:right w:val="none" w:sz="0" w:space="0" w:color="auto"/>
      </w:divBdr>
      <w:divsChild>
        <w:div w:id="164712329">
          <w:marLeft w:val="0"/>
          <w:marRight w:val="0"/>
          <w:marTop w:val="0"/>
          <w:marBottom w:val="0"/>
          <w:divBdr>
            <w:top w:val="none" w:sz="0" w:space="0" w:color="auto"/>
            <w:left w:val="none" w:sz="0" w:space="0" w:color="auto"/>
            <w:bottom w:val="none" w:sz="0" w:space="0" w:color="auto"/>
            <w:right w:val="none" w:sz="0" w:space="0" w:color="auto"/>
          </w:divBdr>
          <w:divsChild>
            <w:div w:id="707418095">
              <w:marLeft w:val="-90"/>
              <w:marRight w:val="-90"/>
              <w:marTop w:val="0"/>
              <w:marBottom w:val="0"/>
              <w:divBdr>
                <w:top w:val="none" w:sz="0" w:space="0" w:color="auto"/>
                <w:left w:val="none" w:sz="0" w:space="0" w:color="auto"/>
                <w:bottom w:val="none" w:sz="0" w:space="0" w:color="auto"/>
                <w:right w:val="none" w:sz="0" w:space="0" w:color="auto"/>
              </w:divBdr>
              <w:divsChild>
                <w:div w:id="300498075">
                  <w:marLeft w:val="0"/>
                  <w:marRight w:val="0"/>
                  <w:marTop w:val="0"/>
                  <w:marBottom w:val="0"/>
                  <w:divBdr>
                    <w:top w:val="none" w:sz="0" w:space="0" w:color="auto"/>
                    <w:left w:val="none" w:sz="0" w:space="0" w:color="auto"/>
                    <w:bottom w:val="none" w:sz="0" w:space="0" w:color="auto"/>
                    <w:right w:val="none" w:sz="0" w:space="0" w:color="auto"/>
                  </w:divBdr>
                  <w:divsChild>
                    <w:div w:id="17413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7639">
      <w:bodyDiv w:val="1"/>
      <w:marLeft w:val="0"/>
      <w:marRight w:val="0"/>
      <w:marTop w:val="0"/>
      <w:marBottom w:val="0"/>
      <w:divBdr>
        <w:top w:val="none" w:sz="0" w:space="0" w:color="auto"/>
        <w:left w:val="none" w:sz="0" w:space="0" w:color="auto"/>
        <w:bottom w:val="none" w:sz="0" w:space="0" w:color="auto"/>
        <w:right w:val="none" w:sz="0" w:space="0" w:color="auto"/>
      </w:divBdr>
    </w:div>
    <w:div w:id="1778673343">
      <w:bodyDiv w:val="1"/>
      <w:marLeft w:val="0"/>
      <w:marRight w:val="0"/>
      <w:marTop w:val="0"/>
      <w:marBottom w:val="0"/>
      <w:divBdr>
        <w:top w:val="none" w:sz="0" w:space="0" w:color="auto"/>
        <w:left w:val="none" w:sz="0" w:space="0" w:color="auto"/>
        <w:bottom w:val="none" w:sz="0" w:space="0" w:color="auto"/>
        <w:right w:val="none" w:sz="0" w:space="0" w:color="auto"/>
      </w:divBdr>
      <w:divsChild>
        <w:div w:id="1742479115">
          <w:marLeft w:val="0"/>
          <w:marRight w:val="0"/>
          <w:marTop w:val="0"/>
          <w:marBottom w:val="0"/>
          <w:divBdr>
            <w:top w:val="none" w:sz="0" w:space="0" w:color="auto"/>
            <w:left w:val="none" w:sz="0" w:space="0" w:color="auto"/>
            <w:bottom w:val="none" w:sz="0" w:space="0" w:color="auto"/>
            <w:right w:val="none" w:sz="0" w:space="0" w:color="auto"/>
          </w:divBdr>
          <w:divsChild>
            <w:div w:id="1702709703">
              <w:marLeft w:val="-90"/>
              <w:marRight w:val="-90"/>
              <w:marTop w:val="0"/>
              <w:marBottom w:val="0"/>
              <w:divBdr>
                <w:top w:val="none" w:sz="0" w:space="0" w:color="auto"/>
                <w:left w:val="none" w:sz="0" w:space="0" w:color="auto"/>
                <w:bottom w:val="none" w:sz="0" w:space="0" w:color="auto"/>
                <w:right w:val="none" w:sz="0" w:space="0" w:color="auto"/>
              </w:divBdr>
              <w:divsChild>
                <w:div w:id="881358108">
                  <w:marLeft w:val="0"/>
                  <w:marRight w:val="0"/>
                  <w:marTop w:val="0"/>
                  <w:marBottom w:val="0"/>
                  <w:divBdr>
                    <w:top w:val="none" w:sz="0" w:space="0" w:color="auto"/>
                    <w:left w:val="none" w:sz="0" w:space="0" w:color="auto"/>
                    <w:bottom w:val="none" w:sz="0" w:space="0" w:color="auto"/>
                    <w:right w:val="none" w:sz="0" w:space="0" w:color="auto"/>
                  </w:divBdr>
                  <w:divsChild>
                    <w:div w:id="1131096819">
                      <w:marLeft w:val="0"/>
                      <w:marRight w:val="0"/>
                      <w:marTop w:val="0"/>
                      <w:marBottom w:val="0"/>
                      <w:divBdr>
                        <w:top w:val="none" w:sz="0" w:space="0" w:color="auto"/>
                        <w:left w:val="none" w:sz="0" w:space="0" w:color="auto"/>
                        <w:bottom w:val="none" w:sz="0" w:space="0" w:color="auto"/>
                        <w:right w:val="none" w:sz="0" w:space="0" w:color="auto"/>
                      </w:divBdr>
                    </w:div>
                    <w:div w:id="13604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3934">
      <w:bodyDiv w:val="1"/>
      <w:marLeft w:val="0"/>
      <w:marRight w:val="0"/>
      <w:marTop w:val="0"/>
      <w:marBottom w:val="0"/>
      <w:divBdr>
        <w:top w:val="none" w:sz="0" w:space="0" w:color="auto"/>
        <w:left w:val="none" w:sz="0" w:space="0" w:color="auto"/>
        <w:bottom w:val="none" w:sz="0" w:space="0" w:color="auto"/>
        <w:right w:val="none" w:sz="0" w:space="0" w:color="auto"/>
      </w:divBdr>
      <w:divsChild>
        <w:div w:id="841554528">
          <w:marLeft w:val="0"/>
          <w:marRight w:val="0"/>
          <w:marTop w:val="0"/>
          <w:marBottom w:val="0"/>
          <w:divBdr>
            <w:top w:val="none" w:sz="0" w:space="0" w:color="auto"/>
            <w:left w:val="none" w:sz="0" w:space="0" w:color="auto"/>
            <w:bottom w:val="none" w:sz="0" w:space="0" w:color="auto"/>
            <w:right w:val="none" w:sz="0" w:space="0" w:color="auto"/>
          </w:divBdr>
          <w:divsChild>
            <w:div w:id="1233154764">
              <w:marLeft w:val="-90"/>
              <w:marRight w:val="-90"/>
              <w:marTop w:val="0"/>
              <w:marBottom w:val="0"/>
              <w:divBdr>
                <w:top w:val="none" w:sz="0" w:space="0" w:color="auto"/>
                <w:left w:val="none" w:sz="0" w:space="0" w:color="auto"/>
                <w:bottom w:val="none" w:sz="0" w:space="0" w:color="auto"/>
                <w:right w:val="none" w:sz="0" w:space="0" w:color="auto"/>
              </w:divBdr>
              <w:divsChild>
                <w:div w:id="6637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98304">
      <w:bodyDiv w:val="1"/>
      <w:marLeft w:val="0"/>
      <w:marRight w:val="0"/>
      <w:marTop w:val="0"/>
      <w:marBottom w:val="0"/>
      <w:divBdr>
        <w:top w:val="none" w:sz="0" w:space="0" w:color="auto"/>
        <w:left w:val="none" w:sz="0" w:space="0" w:color="auto"/>
        <w:bottom w:val="none" w:sz="0" w:space="0" w:color="auto"/>
        <w:right w:val="none" w:sz="0" w:space="0" w:color="auto"/>
      </w:divBdr>
    </w:div>
    <w:div w:id="1896550497">
      <w:bodyDiv w:val="1"/>
      <w:marLeft w:val="0"/>
      <w:marRight w:val="0"/>
      <w:marTop w:val="0"/>
      <w:marBottom w:val="0"/>
      <w:divBdr>
        <w:top w:val="none" w:sz="0" w:space="0" w:color="auto"/>
        <w:left w:val="none" w:sz="0" w:space="0" w:color="auto"/>
        <w:bottom w:val="none" w:sz="0" w:space="0" w:color="auto"/>
        <w:right w:val="none" w:sz="0" w:space="0" w:color="auto"/>
      </w:divBdr>
    </w:div>
    <w:div w:id="1931039028">
      <w:bodyDiv w:val="1"/>
      <w:marLeft w:val="0"/>
      <w:marRight w:val="0"/>
      <w:marTop w:val="0"/>
      <w:marBottom w:val="0"/>
      <w:divBdr>
        <w:top w:val="none" w:sz="0" w:space="0" w:color="auto"/>
        <w:left w:val="none" w:sz="0" w:space="0" w:color="auto"/>
        <w:bottom w:val="none" w:sz="0" w:space="0" w:color="auto"/>
        <w:right w:val="none" w:sz="0" w:space="0" w:color="auto"/>
      </w:divBdr>
      <w:divsChild>
        <w:div w:id="574248085">
          <w:marLeft w:val="0"/>
          <w:marRight w:val="0"/>
          <w:marTop w:val="0"/>
          <w:marBottom w:val="0"/>
          <w:divBdr>
            <w:top w:val="none" w:sz="0" w:space="0" w:color="auto"/>
            <w:left w:val="none" w:sz="0" w:space="0" w:color="auto"/>
            <w:bottom w:val="none" w:sz="0" w:space="0" w:color="auto"/>
            <w:right w:val="none" w:sz="0" w:space="0" w:color="auto"/>
          </w:divBdr>
          <w:divsChild>
            <w:div w:id="178201133">
              <w:marLeft w:val="-90"/>
              <w:marRight w:val="-90"/>
              <w:marTop w:val="0"/>
              <w:marBottom w:val="0"/>
              <w:divBdr>
                <w:top w:val="none" w:sz="0" w:space="0" w:color="auto"/>
                <w:left w:val="none" w:sz="0" w:space="0" w:color="auto"/>
                <w:bottom w:val="none" w:sz="0" w:space="0" w:color="auto"/>
                <w:right w:val="none" w:sz="0" w:space="0" w:color="auto"/>
              </w:divBdr>
              <w:divsChild>
                <w:div w:id="10064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0479">
      <w:bodyDiv w:val="1"/>
      <w:marLeft w:val="0"/>
      <w:marRight w:val="0"/>
      <w:marTop w:val="0"/>
      <w:marBottom w:val="0"/>
      <w:divBdr>
        <w:top w:val="none" w:sz="0" w:space="0" w:color="auto"/>
        <w:left w:val="none" w:sz="0" w:space="0" w:color="auto"/>
        <w:bottom w:val="none" w:sz="0" w:space="0" w:color="auto"/>
        <w:right w:val="none" w:sz="0" w:space="0" w:color="auto"/>
      </w:divBdr>
    </w:div>
    <w:div w:id="2005164742">
      <w:bodyDiv w:val="1"/>
      <w:marLeft w:val="0"/>
      <w:marRight w:val="0"/>
      <w:marTop w:val="0"/>
      <w:marBottom w:val="0"/>
      <w:divBdr>
        <w:top w:val="none" w:sz="0" w:space="0" w:color="auto"/>
        <w:left w:val="none" w:sz="0" w:space="0" w:color="auto"/>
        <w:bottom w:val="none" w:sz="0" w:space="0" w:color="auto"/>
        <w:right w:val="none" w:sz="0" w:space="0" w:color="auto"/>
      </w:divBdr>
    </w:div>
    <w:div w:id="2012635690">
      <w:bodyDiv w:val="1"/>
      <w:marLeft w:val="0"/>
      <w:marRight w:val="0"/>
      <w:marTop w:val="0"/>
      <w:marBottom w:val="0"/>
      <w:divBdr>
        <w:top w:val="none" w:sz="0" w:space="0" w:color="auto"/>
        <w:left w:val="none" w:sz="0" w:space="0" w:color="auto"/>
        <w:bottom w:val="none" w:sz="0" w:space="0" w:color="auto"/>
        <w:right w:val="none" w:sz="0" w:space="0" w:color="auto"/>
      </w:divBdr>
    </w:div>
    <w:div w:id="2073385086">
      <w:bodyDiv w:val="1"/>
      <w:marLeft w:val="0"/>
      <w:marRight w:val="0"/>
      <w:marTop w:val="0"/>
      <w:marBottom w:val="0"/>
      <w:divBdr>
        <w:top w:val="none" w:sz="0" w:space="0" w:color="auto"/>
        <w:left w:val="none" w:sz="0" w:space="0" w:color="auto"/>
        <w:bottom w:val="none" w:sz="0" w:space="0" w:color="auto"/>
        <w:right w:val="none" w:sz="0" w:space="0" w:color="auto"/>
      </w:divBdr>
      <w:divsChild>
        <w:div w:id="803742058">
          <w:marLeft w:val="0"/>
          <w:marRight w:val="0"/>
          <w:marTop w:val="0"/>
          <w:marBottom w:val="0"/>
          <w:divBdr>
            <w:top w:val="none" w:sz="0" w:space="0" w:color="auto"/>
            <w:left w:val="none" w:sz="0" w:space="0" w:color="auto"/>
            <w:bottom w:val="none" w:sz="0" w:space="0" w:color="auto"/>
            <w:right w:val="none" w:sz="0" w:space="0" w:color="auto"/>
          </w:divBdr>
          <w:divsChild>
            <w:div w:id="900408877">
              <w:marLeft w:val="-90"/>
              <w:marRight w:val="-90"/>
              <w:marTop w:val="0"/>
              <w:marBottom w:val="0"/>
              <w:divBdr>
                <w:top w:val="none" w:sz="0" w:space="0" w:color="auto"/>
                <w:left w:val="none" w:sz="0" w:space="0" w:color="auto"/>
                <w:bottom w:val="none" w:sz="0" w:space="0" w:color="auto"/>
                <w:right w:val="none" w:sz="0" w:space="0" w:color="auto"/>
              </w:divBdr>
              <w:divsChild>
                <w:div w:id="1384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tocollo_dfp@mailbox.governo.it" TargetMode="External"/><Relationship Id="rId4" Type="http://schemas.openxmlformats.org/officeDocument/2006/relationships/settings" Target="settings.xml"/><Relationship Id="rId9" Type="http://schemas.openxmlformats.org/officeDocument/2006/relationships/hyperlink" Target="mailto:dcp.dag@pec.mef.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48BD-CEC7-4E2D-BA37-B70FD221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3332</Words>
  <Characters>18998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All’ igop divisione</vt:lpstr>
    </vt:vector>
  </TitlesOfParts>
  <Company>M.E.F.</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igop divisione</dc:title>
  <dc:creator>I.G.O.P.</dc:creator>
  <cp:lastModifiedBy>CIBIN Paolo</cp:lastModifiedBy>
  <cp:revision>4</cp:revision>
  <cp:lastPrinted>2021-03-16T09:30:00Z</cp:lastPrinted>
  <dcterms:created xsi:type="dcterms:W3CDTF">2021-03-16T09:27:00Z</dcterms:created>
  <dcterms:modified xsi:type="dcterms:W3CDTF">2021-03-16T09:31:00Z</dcterms:modified>
</cp:coreProperties>
</file>