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3E6" w:rsidRDefault="001E253C" w:rsidP="00CF2C81">
      <w:pPr>
        <w:tabs>
          <w:tab w:val="left" w:pos="5529"/>
        </w:tabs>
        <w:ind w:left="142" w:right="4110"/>
        <w:jc w:val="center"/>
      </w:pPr>
      <w:r>
        <w:rPr>
          <w:noProof/>
        </w:rPr>
        <w:drawing>
          <wp:inline distT="0" distB="0" distL="0" distR="0">
            <wp:extent cx="714375" cy="7334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4375" cy="733425"/>
                    </a:xfrm>
                    <a:prstGeom prst="rect">
                      <a:avLst/>
                    </a:prstGeom>
                    <a:noFill/>
                    <a:ln w="9525">
                      <a:noFill/>
                      <a:miter lim="800000"/>
                      <a:headEnd/>
                      <a:tailEnd/>
                    </a:ln>
                  </pic:spPr>
                </pic:pic>
              </a:graphicData>
            </a:graphic>
          </wp:inline>
        </w:drawing>
      </w:r>
    </w:p>
    <w:p w:rsidR="007F41E3" w:rsidRDefault="00AD3FC8" w:rsidP="00CF2C81">
      <w:pPr>
        <w:ind w:right="3118" w:hanging="284"/>
        <w:rPr>
          <w:rFonts w:ascii="Palace Script MT" w:hAnsi="Palace Script MT"/>
          <w:i/>
          <w:sz w:val="64"/>
        </w:rPr>
      </w:pPr>
      <w:r>
        <w:rPr>
          <w:noProof/>
        </w:rPr>
        <w:pict>
          <v:rect id="Rectangle 2" o:spid="_x0000_s1026" style="position:absolute;margin-left:524.4pt;margin-top:30pt;width:31.5pt;height:10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" o:allowincell="f" stroked="f" strokeweight="0">
            <v:textbox inset="0,0,0,0">
              <w:txbxContent>
                <w:p w:rsidR="00B1778F" w:rsidRDefault="00B1778F"/>
              </w:txbxContent>
            </v:textbox>
          </v:rect>
        </w:pict>
      </w:r>
      <w:r w:rsidR="00A824E5">
        <w:rPr>
          <w:i/>
          <w:sz w:val="36"/>
        </w:rPr>
        <w:t xml:space="preserve"> Ministero dell</w:t>
      </w:r>
      <w:r w:rsidR="007F41E3">
        <w:rPr>
          <w:i/>
          <w:sz w:val="36"/>
        </w:rPr>
        <w:t>’</w:t>
      </w:r>
      <w:r w:rsidR="00F743E6">
        <w:rPr>
          <w:i/>
          <w:sz w:val="36"/>
        </w:rPr>
        <w:t>Economia e delle Finanze</w:t>
      </w:r>
    </w:p>
    <w:p w:rsidR="00F743E6" w:rsidRDefault="00F743E6" w:rsidP="00C5703B">
      <w:pPr>
        <w:tabs>
          <w:tab w:val="left" w:pos="5529"/>
          <w:tab w:val="left" w:pos="5670"/>
          <w:tab w:val="left" w:pos="5812"/>
        </w:tabs>
        <w:spacing w:before="40"/>
        <w:ind w:right="3770" w:hanging="142"/>
        <w:jc w:val="center"/>
        <w:rPr>
          <w:smallCaps/>
          <w:sz w:val="22"/>
        </w:rPr>
      </w:pPr>
      <w:r>
        <w:rPr>
          <w:smallCaps/>
          <w:sz w:val="22"/>
        </w:rPr>
        <w:t>Dipartimento della Ragioneria Generale dello Stato</w:t>
      </w:r>
    </w:p>
    <w:p w:rsidR="00F743E6" w:rsidRPr="00A25550" w:rsidRDefault="00F743E6" w:rsidP="00CF2C81">
      <w:pPr>
        <w:tabs>
          <w:tab w:val="left" w:pos="0"/>
          <w:tab w:val="left" w:pos="5529"/>
          <w:tab w:val="left" w:pos="5670"/>
          <w:tab w:val="left" w:pos="5812"/>
        </w:tabs>
        <w:ind w:right="3969"/>
        <w:jc w:val="center"/>
        <w:rPr>
          <w:sz w:val="22"/>
          <w:szCs w:val="22"/>
        </w:rPr>
      </w:pPr>
      <w:r w:rsidRPr="00A25550">
        <w:rPr>
          <w:sz w:val="22"/>
          <w:szCs w:val="22"/>
        </w:rPr>
        <w:t>Ispettorato generale per gli ordinamenti del personale</w:t>
      </w:r>
    </w:p>
    <w:p w:rsidR="00F743E6" w:rsidRPr="00A25550" w:rsidRDefault="00F743E6" w:rsidP="00CF2C81">
      <w:pPr>
        <w:tabs>
          <w:tab w:val="left" w:pos="5529"/>
          <w:tab w:val="left" w:pos="5670"/>
          <w:tab w:val="left" w:pos="5812"/>
        </w:tabs>
        <w:ind w:right="3969"/>
        <w:jc w:val="center"/>
        <w:rPr>
          <w:sz w:val="22"/>
          <w:szCs w:val="22"/>
        </w:rPr>
      </w:pPr>
      <w:r w:rsidRPr="00A25550">
        <w:rPr>
          <w:sz w:val="22"/>
          <w:szCs w:val="22"/>
        </w:rPr>
        <w:t>e l</w:t>
      </w:r>
      <w:r w:rsidR="007F41E3">
        <w:rPr>
          <w:sz w:val="22"/>
          <w:szCs w:val="22"/>
        </w:rPr>
        <w:t>’</w:t>
      </w:r>
      <w:r w:rsidRPr="00A25550">
        <w:rPr>
          <w:sz w:val="22"/>
          <w:szCs w:val="22"/>
        </w:rPr>
        <w:t>analisi dei costi del lavoro pubblico</w:t>
      </w:r>
    </w:p>
    <w:p w:rsidR="00F1075D" w:rsidRDefault="00AE7EDD" w:rsidP="00F1075D">
      <w:pPr>
        <w:tabs>
          <w:tab w:val="left" w:pos="5529"/>
          <w:tab w:val="left" w:pos="5670"/>
          <w:tab w:val="left" w:pos="5812"/>
        </w:tabs>
        <w:ind w:right="3969"/>
        <w:jc w:val="center"/>
        <w:rPr>
          <w:sz w:val="22"/>
          <w:szCs w:val="22"/>
        </w:rPr>
      </w:pPr>
      <w:r>
        <w:rPr>
          <w:sz w:val="22"/>
          <w:szCs w:val="22"/>
        </w:rPr>
        <w:t xml:space="preserve">Ufficio </w:t>
      </w:r>
      <w:r w:rsidR="00CE4594">
        <w:rPr>
          <w:sz w:val="22"/>
          <w:szCs w:val="22"/>
        </w:rPr>
        <w:t>XII</w:t>
      </w:r>
      <w:r w:rsidR="00C60470">
        <w:rPr>
          <w:sz w:val="22"/>
          <w:szCs w:val="22"/>
        </w:rPr>
        <w:t>-XIV</w:t>
      </w:r>
    </w:p>
    <w:p w:rsidR="007F41E3" w:rsidRDefault="007F41E3" w:rsidP="004507AA">
      <w:pPr>
        <w:ind w:right="140"/>
        <w:jc w:val="both"/>
        <w:rPr>
          <w:sz w:val="24"/>
          <w:szCs w:val="24"/>
        </w:rPr>
      </w:pPr>
    </w:p>
    <w:p w:rsidR="00472D66" w:rsidRDefault="007F41E3" w:rsidP="004507AA">
      <w:pPr>
        <w:ind w:right="140"/>
        <w:jc w:val="both"/>
        <w:rPr>
          <w:sz w:val="24"/>
          <w:szCs w:val="24"/>
        </w:rPr>
      </w:pPr>
      <w:r>
        <w:rPr>
          <w:sz w:val="24"/>
          <w:szCs w:val="24"/>
        </w:rPr>
        <w:t xml:space="preserve"> </w:t>
      </w:r>
      <w:r w:rsidR="000D677D">
        <w:rPr>
          <w:sz w:val="24"/>
          <w:szCs w:val="24"/>
        </w:rPr>
        <w:tab/>
      </w:r>
    </w:p>
    <w:p w:rsidR="00CE4594" w:rsidRDefault="0009256D" w:rsidP="00F12F9E">
      <w:pPr>
        <w:ind w:right="140"/>
        <w:jc w:val="both"/>
        <w:rPr>
          <w:sz w:val="24"/>
          <w:szCs w:val="24"/>
        </w:rPr>
      </w:pPr>
      <w:r w:rsidRPr="002D29C9">
        <w:rPr>
          <w:sz w:val="24"/>
          <w:szCs w:val="24"/>
        </w:rPr>
        <w:t>Rif. prot. entrata n.</w:t>
      </w:r>
      <w:r w:rsidR="00D66556">
        <w:rPr>
          <w:sz w:val="24"/>
          <w:szCs w:val="24"/>
        </w:rPr>
        <w:t xml:space="preserve"> 243388 del 15/11/2018</w:t>
      </w:r>
    </w:p>
    <w:p w:rsidR="00C5703B" w:rsidRDefault="0009256D" w:rsidP="00F12F9E">
      <w:pPr>
        <w:ind w:right="140"/>
        <w:jc w:val="both"/>
        <w:rPr>
          <w:sz w:val="24"/>
          <w:szCs w:val="24"/>
        </w:rPr>
      </w:pPr>
      <w:r w:rsidRPr="002D29C9">
        <w:rPr>
          <w:sz w:val="24"/>
          <w:szCs w:val="24"/>
        </w:rPr>
        <w:t>Allegati n.</w:t>
      </w:r>
      <w:r w:rsidR="00F12F9E" w:rsidRPr="002D29C9">
        <w:rPr>
          <w:sz w:val="24"/>
          <w:szCs w:val="24"/>
        </w:rPr>
        <w:tab/>
      </w:r>
    </w:p>
    <w:p w:rsidR="007F41E3" w:rsidRDefault="0016634E" w:rsidP="00B65A9D">
      <w:pPr>
        <w:tabs>
          <w:tab w:val="left" w:pos="4395"/>
        </w:tabs>
        <w:ind w:right="-57"/>
        <w:jc w:val="both"/>
        <w:rPr>
          <w:sz w:val="24"/>
          <w:szCs w:val="24"/>
        </w:rPr>
      </w:pPr>
      <w:r>
        <w:rPr>
          <w:sz w:val="24"/>
          <w:szCs w:val="24"/>
        </w:rPr>
        <w:t>Risposta a nota prot</w:t>
      </w:r>
      <w:r w:rsidR="00D66556">
        <w:rPr>
          <w:sz w:val="24"/>
          <w:szCs w:val="24"/>
        </w:rPr>
        <w:t xml:space="preserve"> A1.2018.0252089</w:t>
      </w:r>
      <w:r w:rsidR="006C4643">
        <w:rPr>
          <w:sz w:val="24"/>
          <w:szCs w:val="24"/>
        </w:rPr>
        <w:t xml:space="preserve"> del </w:t>
      </w:r>
      <w:r w:rsidR="00D66556">
        <w:rPr>
          <w:sz w:val="24"/>
          <w:szCs w:val="24"/>
        </w:rPr>
        <w:t>15</w:t>
      </w:r>
      <w:r w:rsidR="00583C1B">
        <w:rPr>
          <w:sz w:val="24"/>
          <w:szCs w:val="24"/>
        </w:rPr>
        <w:t>/</w:t>
      </w:r>
      <w:r w:rsidR="00D66556">
        <w:rPr>
          <w:sz w:val="24"/>
          <w:szCs w:val="24"/>
        </w:rPr>
        <w:t>11</w:t>
      </w:r>
      <w:r w:rsidR="00583C1B">
        <w:rPr>
          <w:sz w:val="24"/>
          <w:szCs w:val="24"/>
        </w:rPr>
        <w:t>/</w:t>
      </w:r>
      <w:r w:rsidR="00D66556">
        <w:rPr>
          <w:sz w:val="24"/>
          <w:szCs w:val="24"/>
        </w:rPr>
        <w:t>2018</w:t>
      </w:r>
      <w:r w:rsidR="00B65A9D" w:rsidRPr="00FF7675">
        <w:rPr>
          <w:sz w:val="24"/>
          <w:szCs w:val="24"/>
        </w:rPr>
        <w:tab/>
      </w:r>
    </w:p>
    <w:p w:rsidR="00D66556" w:rsidRDefault="00D66556" w:rsidP="00B65A9D">
      <w:pPr>
        <w:tabs>
          <w:tab w:val="left" w:pos="4395"/>
        </w:tabs>
        <w:ind w:right="-57"/>
        <w:jc w:val="both"/>
        <w:rPr>
          <w:sz w:val="24"/>
          <w:szCs w:val="24"/>
        </w:rPr>
      </w:pPr>
    </w:p>
    <w:p w:rsidR="001A6428" w:rsidRDefault="001A6428" w:rsidP="00B65A9D">
      <w:pPr>
        <w:tabs>
          <w:tab w:val="left" w:pos="4395"/>
        </w:tabs>
        <w:ind w:right="-57"/>
        <w:jc w:val="both"/>
        <w:rPr>
          <w:sz w:val="24"/>
          <w:szCs w:val="24"/>
        </w:rPr>
      </w:pPr>
    </w:p>
    <w:p w:rsidR="00D66556" w:rsidRDefault="001A6428" w:rsidP="00B65A9D">
      <w:pPr>
        <w:tabs>
          <w:tab w:val="left" w:pos="4395"/>
        </w:tabs>
        <w:ind w:right="-57"/>
        <w:jc w:val="both"/>
        <w:rPr>
          <w:sz w:val="24"/>
          <w:szCs w:val="24"/>
        </w:rPr>
      </w:pPr>
      <w:r>
        <w:rPr>
          <w:sz w:val="24"/>
          <w:szCs w:val="24"/>
        </w:rPr>
        <w:tab/>
      </w:r>
      <w:r w:rsidR="007F41E3">
        <w:rPr>
          <w:sz w:val="24"/>
          <w:szCs w:val="24"/>
        </w:rPr>
        <w:t xml:space="preserve"> </w:t>
      </w:r>
      <w:r w:rsidR="004F4493">
        <w:rPr>
          <w:sz w:val="24"/>
          <w:szCs w:val="24"/>
        </w:rPr>
        <w:t>Al</w:t>
      </w:r>
      <w:r w:rsidR="006C4643">
        <w:rPr>
          <w:sz w:val="24"/>
          <w:szCs w:val="24"/>
        </w:rPr>
        <w:t xml:space="preserve">la </w:t>
      </w:r>
      <w:r w:rsidR="00D66556">
        <w:rPr>
          <w:sz w:val="24"/>
          <w:szCs w:val="24"/>
        </w:rPr>
        <w:t>Regione Lombardia - Giunta</w:t>
      </w:r>
    </w:p>
    <w:p w:rsidR="00D66556" w:rsidRDefault="00D66556" w:rsidP="00D66556">
      <w:pPr>
        <w:tabs>
          <w:tab w:val="left" w:pos="4395"/>
        </w:tabs>
        <w:ind w:left="4963" w:right="-57"/>
        <w:jc w:val="both"/>
        <w:rPr>
          <w:sz w:val="24"/>
          <w:szCs w:val="24"/>
        </w:rPr>
      </w:pPr>
      <w:r>
        <w:rPr>
          <w:sz w:val="24"/>
          <w:szCs w:val="24"/>
        </w:rPr>
        <w:t>Area Organizzazione, Personale, Patrimonio      e Sistema Informativo</w:t>
      </w:r>
      <w:r w:rsidR="00BC3691">
        <w:rPr>
          <w:sz w:val="24"/>
          <w:szCs w:val="24"/>
        </w:rPr>
        <w:tab/>
      </w:r>
    </w:p>
    <w:p w:rsidR="00D66556" w:rsidRDefault="00D66556" w:rsidP="00D66556">
      <w:pPr>
        <w:tabs>
          <w:tab w:val="left" w:pos="4395"/>
        </w:tabs>
        <w:ind w:left="4395" w:right="-57"/>
        <w:jc w:val="both"/>
        <w:rPr>
          <w:sz w:val="24"/>
          <w:szCs w:val="24"/>
        </w:rPr>
      </w:pPr>
      <w:r>
        <w:rPr>
          <w:sz w:val="24"/>
          <w:szCs w:val="24"/>
        </w:rPr>
        <w:tab/>
        <w:t>Piazza Città di Lombardia, 1</w:t>
      </w:r>
    </w:p>
    <w:p w:rsidR="00D66556" w:rsidRDefault="00D66556" w:rsidP="00D66556">
      <w:pPr>
        <w:tabs>
          <w:tab w:val="left" w:pos="4395"/>
        </w:tabs>
        <w:ind w:left="4395" w:right="-57"/>
        <w:jc w:val="both"/>
        <w:rPr>
          <w:sz w:val="24"/>
          <w:szCs w:val="24"/>
        </w:rPr>
      </w:pPr>
      <w:r>
        <w:rPr>
          <w:sz w:val="24"/>
          <w:szCs w:val="24"/>
        </w:rPr>
        <w:tab/>
        <w:t>20124 - MILANO</w:t>
      </w:r>
      <w:r w:rsidR="00BC3691">
        <w:rPr>
          <w:sz w:val="24"/>
          <w:szCs w:val="24"/>
        </w:rPr>
        <w:tab/>
      </w:r>
    </w:p>
    <w:p w:rsidR="00D66556" w:rsidRDefault="00D66556" w:rsidP="00D66556">
      <w:pPr>
        <w:tabs>
          <w:tab w:val="left" w:pos="4395"/>
        </w:tabs>
        <w:ind w:right="-57"/>
        <w:jc w:val="both"/>
        <w:rPr>
          <w:sz w:val="24"/>
          <w:szCs w:val="24"/>
        </w:rPr>
      </w:pPr>
      <w:r>
        <w:rPr>
          <w:sz w:val="24"/>
          <w:szCs w:val="24"/>
        </w:rPr>
        <w:t xml:space="preserve">                                 </w:t>
      </w:r>
    </w:p>
    <w:p w:rsidR="007F41E3" w:rsidRPr="00D66556" w:rsidRDefault="00D66556" w:rsidP="00D66556">
      <w:pPr>
        <w:tabs>
          <w:tab w:val="left" w:pos="4395"/>
        </w:tabs>
        <w:ind w:right="-57"/>
        <w:jc w:val="both"/>
        <w:rPr>
          <w:sz w:val="24"/>
          <w:szCs w:val="24"/>
        </w:rPr>
      </w:pPr>
      <w:r>
        <w:rPr>
          <w:sz w:val="24"/>
          <w:szCs w:val="24"/>
        </w:rPr>
        <w:t xml:space="preserve">                                          e, per conoscenza</w:t>
      </w:r>
      <w:r w:rsidR="007F41E3">
        <w:rPr>
          <w:sz w:val="24"/>
          <w:szCs w:val="24"/>
        </w:rPr>
        <w:t xml:space="preserve"> </w:t>
      </w:r>
      <w:r>
        <w:rPr>
          <w:sz w:val="24"/>
          <w:szCs w:val="24"/>
        </w:rPr>
        <w:t xml:space="preserve">  </w:t>
      </w:r>
      <w:r w:rsidR="00730F4A" w:rsidRPr="00D66556">
        <w:rPr>
          <w:sz w:val="24"/>
          <w:szCs w:val="24"/>
        </w:rPr>
        <w:t>Alla</w:t>
      </w:r>
      <w:r w:rsidR="00C30948" w:rsidRPr="00D66556">
        <w:rPr>
          <w:sz w:val="24"/>
          <w:szCs w:val="24"/>
        </w:rPr>
        <w:t xml:space="preserve"> </w:t>
      </w:r>
      <w:r w:rsidR="00730F4A" w:rsidRPr="00D66556">
        <w:rPr>
          <w:sz w:val="24"/>
          <w:szCs w:val="24"/>
        </w:rPr>
        <w:t>Presidenza del Consiglio dei Ministri</w:t>
      </w:r>
    </w:p>
    <w:p w:rsidR="00730F4A" w:rsidRPr="00D66556" w:rsidRDefault="00730F4A" w:rsidP="00B65A9D">
      <w:pPr>
        <w:tabs>
          <w:tab w:val="left" w:pos="4395"/>
        </w:tabs>
        <w:ind w:right="-57"/>
        <w:jc w:val="both"/>
        <w:rPr>
          <w:sz w:val="24"/>
          <w:szCs w:val="24"/>
        </w:rPr>
      </w:pPr>
      <w:r w:rsidRPr="00D66556">
        <w:rPr>
          <w:sz w:val="24"/>
          <w:szCs w:val="24"/>
        </w:rPr>
        <w:tab/>
      </w:r>
      <w:r w:rsidRPr="00D66556">
        <w:rPr>
          <w:sz w:val="24"/>
          <w:szCs w:val="24"/>
        </w:rPr>
        <w:tab/>
      </w:r>
      <w:r w:rsidR="007F41E3" w:rsidRPr="00D66556">
        <w:rPr>
          <w:sz w:val="24"/>
          <w:szCs w:val="24"/>
        </w:rPr>
        <w:t xml:space="preserve"> </w:t>
      </w:r>
      <w:r w:rsidRPr="00D66556">
        <w:rPr>
          <w:sz w:val="24"/>
          <w:szCs w:val="24"/>
        </w:rPr>
        <w:t>Dipartimento della funzione pubblica</w:t>
      </w:r>
    </w:p>
    <w:p w:rsidR="007F41E3" w:rsidRPr="00D66556" w:rsidRDefault="00730F4A" w:rsidP="00B65A9D">
      <w:pPr>
        <w:tabs>
          <w:tab w:val="left" w:pos="4395"/>
        </w:tabs>
        <w:ind w:right="-57"/>
        <w:jc w:val="both"/>
        <w:rPr>
          <w:sz w:val="24"/>
          <w:szCs w:val="24"/>
        </w:rPr>
      </w:pPr>
      <w:r w:rsidRPr="00D66556">
        <w:rPr>
          <w:sz w:val="24"/>
          <w:szCs w:val="24"/>
        </w:rPr>
        <w:tab/>
      </w:r>
      <w:r w:rsidRPr="00D66556">
        <w:rPr>
          <w:sz w:val="24"/>
          <w:szCs w:val="24"/>
        </w:rPr>
        <w:tab/>
      </w:r>
      <w:r w:rsidR="007F41E3" w:rsidRPr="00D66556">
        <w:rPr>
          <w:sz w:val="24"/>
          <w:szCs w:val="24"/>
        </w:rPr>
        <w:t xml:space="preserve"> </w:t>
      </w:r>
      <w:r w:rsidRPr="00D66556">
        <w:rPr>
          <w:sz w:val="24"/>
          <w:szCs w:val="24"/>
        </w:rPr>
        <w:t>Corso Vittorio Emanuele, II,</w:t>
      </w:r>
    </w:p>
    <w:p w:rsidR="007F41E3" w:rsidRDefault="00C30948" w:rsidP="00B65A9D">
      <w:pPr>
        <w:tabs>
          <w:tab w:val="left" w:pos="4395"/>
        </w:tabs>
        <w:ind w:right="-57"/>
        <w:jc w:val="both"/>
        <w:rPr>
          <w:sz w:val="24"/>
          <w:szCs w:val="24"/>
        </w:rPr>
      </w:pPr>
      <w:r w:rsidRPr="00D66556">
        <w:rPr>
          <w:sz w:val="24"/>
          <w:szCs w:val="24"/>
        </w:rPr>
        <w:tab/>
      </w:r>
      <w:r w:rsidRPr="00D66556">
        <w:rPr>
          <w:sz w:val="24"/>
          <w:szCs w:val="24"/>
        </w:rPr>
        <w:tab/>
      </w:r>
      <w:r w:rsidR="007F41E3" w:rsidRPr="00D66556">
        <w:rPr>
          <w:sz w:val="24"/>
          <w:szCs w:val="24"/>
        </w:rPr>
        <w:t xml:space="preserve"> </w:t>
      </w:r>
      <w:r w:rsidRPr="00D66556">
        <w:rPr>
          <w:sz w:val="24"/>
          <w:szCs w:val="24"/>
        </w:rPr>
        <w:t>00186</w:t>
      </w:r>
      <w:r w:rsidR="007F41E3" w:rsidRPr="00D66556">
        <w:rPr>
          <w:sz w:val="24"/>
          <w:szCs w:val="24"/>
        </w:rPr>
        <w:t xml:space="preserve"> </w:t>
      </w:r>
      <w:r w:rsidRPr="00D66556">
        <w:rPr>
          <w:sz w:val="24"/>
          <w:szCs w:val="24"/>
        </w:rPr>
        <w:t>ROMA</w:t>
      </w:r>
    </w:p>
    <w:p w:rsidR="007F41E3" w:rsidRDefault="00BC3691" w:rsidP="00BC3691">
      <w:pPr>
        <w:tabs>
          <w:tab w:val="left" w:pos="4395"/>
        </w:tabs>
        <w:ind w:right="-57"/>
        <w:jc w:val="both"/>
        <w:rPr>
          <w:sz w:val="24"/>
          <w:szCs w:val="24"/>
        </w:rPr>
      </w:pPr>
      <w:r>
        <w:rPr>
          <w:sz w:val="24"/>
          <w:szCs w:val="24"/>
        </w:rPr>
        <w:tab/>
      </w:r>
    </w:p>
    <w:p w:rsidR="00BC3691" w:rsidRDefault="007F41E3" w:rsidP="00774C1E">
      <w:pPr>
        <w:tabs>
          <w:tab w:val="left" w:pos="4395"/>
        </w:tabs>
        <w:ind w:right="-57"/>
        <w:jc w:val="both"/>
        <w:rPr>
          <w:sz w:val="24"/>
          <w:szCs w:val="24"/>
        </w:rPr>
      </w:pPr>
      <w:r>
        <w:rPr>
          <w:sz w:val="24"/>
          <w:szCs w:val="24"/>
        </w:rPr>
        <w:t xml:space="preserve"> </w:t>
      </w:r>
      <w:r w:rsidR="00BC3691">
        <w:rPr>
          <w:sz w:val="24"/>
          <w:szCs w:val="24"/>
        </w:rPr>
        <w:tab/>
      </w:r>
    </w:p>
    <w:p w:rsidR="00FF3E65" w:rsidRDefault="005D3181" w:rsidP="004F4493">
      <w:pPr>
        <w:pStyle w:val="Testodelblocco1"/>
        <w:ind w:left="1418" w:right="-57" w:hanging="1418"/>
        <w:rPr>
          <w:color w:val="000000"/>
          <w:szCs w:val="24"/>
        </w:rPr>
      </w:pPr>
      <w:r w:rsidRPr="002D29C9">
        <w:rPr>
          <w:b/>
          <w:color w:val="000000"/>
          <w:szCs w:val="24"/>
        </w:rPr>
        <w:t>OGGETTO</w:t>
      </w:r>
      <w:r w:rsidRPr="002D29C9">
        <w:rPr>
          <w:color w:val="000000"/>
          <w:szCs w:val="24"/>
        </w:rPr>
        <w:t xml:space="preserve">: </w:t>
      </w:r>
      <w:r w:rsidR="00774C1E">
        <w:rPr>
          <w:color w:val="000000"/>
          <w:szCs w:val="24"/>
        </w:rPr>
        <w:t>Regione</w:t>
      </w:r>
      <w:r w:rsidR="00D66556">
        <w:rPr>
          <w:color w:val="000000"/>
          <w:szCs w:val="24"/>
        </w:rPr>
        <w:t xml:space="preserve"> Lombardia – Giunta </w:t>
      </w:r>
      <w:r w:rsidR="00774C1E">
        <w:rPr>
          <w:color w:val="000000"/>
          <w:szCs w:val="24"/>
        </w:rPr>
        <w:t xml:space="preserve">- Richiesta di parere in ordine </w:t>
      </w:r>
      <w:r w:rsidR="00D66556">
        <w:rPr>
          <w:color w:val="000000"/>
          <w:szCs w:val="24"/>
        </w:rPr>
        <w:t>alle risorse per il finanziamento del salario accessorio</w:t>
      </w:r>
      <w:r w:rsidR="00B10E13">
        <w:rPr>
          <w:color w:val="000000"/>
          <w:szCs w:val="24"/>
        </w:rPr>
        <w:t>.</w:t>
      </w:r>
    </w:p>
    <w:p w:rsidR="00D66556" w:rsidRDefault="00D66556" w:rsidP="00D940DB">
      <w:pPr>
        <w:pStyle w:val="Testodelblocco1"/>
        <w:spacing w:line="360" w:lineRule="auto"/>
        <w:ind w:left="1418" w:right="-57" w:hanging="1418"/>
        <w:rPr>
          <w:szCs w:val="24"/>
        </w:rPr>
      </w:pPr>
    </w:p>
    <w:p w:rsidR="00E57961" w:rsidRDefault="004F4493" w:rsidP="00E57961">
      <w:pPr>
        <w:shd w:val="clear" w:color="auto" w:fill="FFFFFF"/>
        <w:spacing w:line="360" w:lineRule="auto"/>
        <w:ind w:firstLine="709"/>
        <w:jc w:val="both"/>
        <w:rPr>
          <w:sz w:val="24"/>
          <w:szCs w:val="24"/>
        </w:rPr>
      </w:pPr>
      <w:r w:rsidRPr="00E57961">
        <w:rPr>
          <w:sz w:val="24"/>
          <w:szCs w:val="24"/>
        </w:rPr>
        <w:t xml:space="preserve">Con nota n. </w:t>
      </w:r>
      <w:r w:rsidR="00D66556">
        <w:rPr>
          <w:sz w:val="24"/>
          <w:szCs w:val="24"/>
        </w:rPr>
        <w:t>A1.2018.0252089 del 13/11/2018</w:t>
      </w:r>
      <w:r w:rsidRPr="00E57961">
        <w:rPr>
          <w:sz w:val="24"/>
          <w:szCs w:val="24"/>
        </w:rPr>
        <w:t xml:space="preserve"> codest</w:t>
      </w:r>
      <w:r w:rsidR="006C4643" w:rsidRPr="00E57961">
        <w:rPr>
          <w:sz w:val="24"/>
          <w:szCs w:val="24"/>
        </w:rPr>
        <w:t xml:space="preserve">a amministrazione </w:t>
      </w:r>
      <w:r w:rsidR="00B10E13" w:rsidRPr="00E57961">
        <w:rPr>
          <w:sz w:val="24"/>
          <w:szCs w:val="24"/>
        </w:rPr>
        <w:t xml:space="preserve">regionale </w:t>
      </w:r>
      <w:r w:rsidRPr="00E57961">
        <w:rPr>
          <w:sz w:val="24"/>
          <w:szCs w:val="24"/>
        </w:rPr>
        <w:t>ha chiesto l</w:t>
      </w:r>
      <w:r w:rsidR="007F41E3">
        <w:rPr>
          <w:sz w:val="24"/>
          <w:szCs w:val="24"/>
        </w:rPr>
        <w:t>’</w:t>
      </w:r>
      <w:r w:rsidRPr="00E57961">
        <w:rPr>
          <w:sz w:val="24"/>
          <w:szCs w:val="24"/>
        </w:rPr>
        <w:t>avviso di questo Dipartimento in ordine al</w:t>
      </w:r>
      <w:r w:rsidR="006C4643" w:rsidRPr="00E57961">
        <w:rPr>
          <w:sz w:val="24"/>
          <w:szCs w:val="24"/>
        </w:rPr>
        <w:t>l</w:t>
      </w:r>
      <w:r w:rsidR="007F41E3">
        <w:rPr>
          <w:sz w:val="24"/>
          <w:szCs w:val="24"/>
        </w:rPr>
        <w:t>’</w:t>
      </w:r>
      <w:r w:rsidR="006C4643" w:rsidRPr="00E57961">
        <w:rPr>
          <w:sz w:val="24"/>
          <w:szCs w:val="24"/>
        </w:rPr>
        <w:t xml:space="preserve">attuazione delle disposizioni normative </w:t>
      </w:r>
      <w:r w:rsidR="00B10E13" w:rsidRPr="00E57961">
        <w:rPr>
          <w:sz w:val="24"/>
          <w:szCs w:val="24"/>
        </w:rPr>
        <w:t>di cui all</w:t>
      </w:r>
      <w:r w:rsidR="007F41E3" w:rsidRPr="0006679C">
        <w:rPr>
          <w:sz w:val="24"/>
          <w:szCs w:val="24"/>
        </w:rPr>
        <w:t>’articolo</w:t>
      </w:r>
      <w:r w:rsidR="00B10E13" w:rsidRPr="0006679C">
        <w:rPr>
          <w:sz w:val="24"/>
          <w:szCs w:val="24"/>
        </w:rPr>
        <w:t xml:space="preserve"> </w:t>
      </w:r>
      <w:r w:rsidR="00B10E13" w:rsidRPr="00E57961">
        <w:rPr>
          <w:color w:val="000000"/>
          <w:sz w:val="24"/>
          <w:szCs w:val="24"/>
        </w:rPr>
        <w:t xml:space="preserve">1, comma 800, della legge n. 205/2017 (legge di bilancio 2018), </w:t>
      </w:r>
      <w:r w:rsidR="006C4643" w:rsidRPr="00E57961">
        <w:rPr>
          <w:sz w:val="24"/>
          <w:szCs w:val="24"/>
        </w:rPr>
        <w:t xml:space="preserve">riguardanti </w:t>
      </w:r>
      <w:r w:rsidR="00B10E13" w:rsidRPr="00E57961">
        <w:rPr>
          <w:sz w:val="24"/>
          <w:szCs w:val="24"/>
        </w:rPr>
        <w:t>la progressiva armonizzazione del trattamento economico del personale delle città metropolitane</w:t>
      </w:r>
      <w:r w:rsidR="00583C1B">
        <w:rPr>
          <w:sz w:val="24"/>
          <w:szCs w:val="24"/>
        </w:rPr>
        <w:t>e</w:t>
      </w:r>
      <w:r w:rsidR="00B10E13" w:rsidRPr="00E57961">
        <w:rPr>
          <w:sz w:val="24"/>
          <w:szCs w:val="24"/>
        </w:rPr>
        <w:t xml:space="preserve"> delle province transitato nei propri ruoli, nonché in ordine alle tipologie di </w:t>
      </w:r>
      <w:r w:rsidR="00D940DB" w:rsidRPr="00E57961">
        <w:rPr>
          <w:sz w:val="24"/>
          <w:szCs w:val="24"/>
        </w:rPr>
        <w:t>risorse finanziarie che possono essere appostate nei fondi per il trattamento accessorio del personale, anche dirigenziale, in deroga al limite previsto dall</w:t>
      </w:r>
      <w:r w:rsidR="007F41E3">
        <w:rPr>
          <w:sz w:val="24"/>
          <w:szCs w:val="24"/>
        </w:rPr>
        <w:t>’</w:t>
      </w:r>
      <w:r w:rsidR="00D940DB" w:rsidRPr="00E57961">
        <w:rPr>
          <w:sz w:val="24"/>
          <w:szCs w:val="24"/>
        </w:rPr>
        <w:t>art. 23, comma 2, del d.lgs. n. 75/2017.</w:t>
      </w:r>
      <w:r w:rsidR="007F41E3">
        <w:rPr>
          <w:sz w:val="24"/>
          <w:szCs w:val="24"/>
        </w:rPr>
        <w:t xml:space="preserve"> </w:t>
      </w:r>
      <w:r w:rsidR="004F7EB2" w:rsidRPr="00E57961">
        <w:rPr>
          <w:sz w:val="24"/>
          <w:szCs w:val="24"/>
        </w:rPr>
        <w:br/>
      </w:r>
      <w:r w:rsidR="007F41E3">
        <w:rPr>
          <w:sz w:val="24"/>
          <w:szCs w:val="24"/>
        </w:rPr>
        <w:t xml:space="preserve"> </w:t>
      </w:r>
      <w:r w:rsidR="00D66556">
        <w:rPr>
          <w:sz w:val="24"/>
          <w:szCs w:val="24"/>
        </w:rPr>
        <w:t xml:space="preserve">            </w:t>
      </w:r>
      <w:r w:rsidR="004F7EB2" w:rsidRPr="00E57961">
        <w:rPr>
          <w:sz w:val="24"/>
          <w:szCs w:val="24"/>
        </w:rPr>
        <w:t xml:space="preserve">Per quanto riguarda il primo quesito posto, si evidenzia che </w:t>
      </w:r>
      <w:r w:rsidR="00E57961" w:rsidRPr="00E57961">
        <w:rPr>
          <w:sz w:val="24"/>
          <w:szCs w:val="24"/>
        </w:rPr>
        <w:t xml:space="preserve">la richiamata disposizione prevede </w:t>
      </w:r>
      <w:r w:rsidR="001B6999">
        <w:rPr>
          <w:sz w:val="24"/>
          <w:szCs w:val="24"/>
        </w:rPr>
        <w:t>“</w:t>
      </w:r>
      <w:r w:rsidR="00E57961" w:rsidRPr="00E57961">
        <w:rPr>
          <w:i/>
          <w:sz w:val="24"/>
          <w:szCs w:val="24"/>
        </w:rPr>
        <w:t xml:space="preserve">Al fine di consentire la progressiva armonizzazione del trattamento economico del personale delle città metropolitane e delle province transitato in altre amministrazioni </w:t>
      </w:r>
      <w:r w:rsidR="00A1452B">
        <w:rPr>
          <w:i/>
          <w:sz w:val="24"/>
          <w:szCs w:val="24"/>
        </w:rPr>
        <w:t>pubbli</w:t>
      </w:r>
      <w:r w:rsidR="002B3B65">
        <w:rPr>
          <w:i/>
          <w:sz w:val="24"/>
          <w:szCs w:val="24"/>
        </w:rPr>
        <w:t>che</w:t>
      </w:r>
      <w:r w:rsidR="00E57961" w:rsidRPr="00E57961">
        <w:rPr>
          <w:i/>
          <w:sz w:val="24"/>
          <w:szCs w:val="24"/>
        </w:rPr>
        <w:t xml:space="preserve"> ai sensi dell</w:t>
      </w:r>
      <w:r w:rsidR="007F41E3">
        <w:rPr>
          <w:i/>
          <w:sz w:val="24"/>
          <w:szCs w:val="24"/>
        </w:rPr>
        <w:t>’</w:t>
      </w:r>
      <w:hyperlink r:id="rId9" w:anchor="id=10LX0000797968ART13,__m=document" w:history="1">
        <w:r w:rsidR="00E57961" w:rsidRPr="00E57961">
          <w:rPr>
            <w:i/>
            <w:iCs/>
            <w:sz w:val="24"/>
            <w:szCs w:val="24"/>
          </w:rPr>
          <w:t>articolo 1, comma 92, della legge 7 aprile 2014, n. 56</w:t>
        </w:r>
      </w:hyperlink>
      <w:r w:rsidR="00E57961" w:rsidRPr="00E57961">
        <w:rPr>
          <w:i/>
          <w:sz w:val="24"/>
          <w:szCs w:val="24"/>
        </w:rPr>
        <w:t>, e dell</w:t>
      </w:r>
      <w:r w:rsidR="007F41E3">
        <w:rPr>
          <w:i/>
          <w:sz w:val="24"/>
          <w:szCs w:val="24"/>
        </w:rPr>
        <w:t>’</w:t>
      </w:r>
      <w:hyperlink r:id="rId10" w:anchor="id=10LX0000807995ART438,__m=document" w:history="1">
        <w:r w:rsidR="00E57961" w:rsidRPr="00E57961">
          <w:rPr>
            <w:i/>
            <w:iCs/>
            <w:sz w:val="24"/>
            <w:szCs w:val="24"/>
          </w:rPr>
          <w:t>articolo 1, commi 424</w:t>
        </w:r>
      </w:hyperlink>
      <w:r w:rsidR="00E57961" w:rsidRPr="00E57961">
        <w:rPr>
          <w:i/>
          <w:sz w:val="24"/>
          <w:szCs w:val="24"/>
        </w:rPr>
        <w:t xml:space="preserve"> e </w:t>
      </w:r>
      <w:hyperlink r:id="rId11" w:anchor="id=10LX0000807995ART439,__m=document" w:history="1">
        <w:r w:rsidR="00E57961" w:rsidRPr="00E57961">
          <w:rPr>
            <w:i/>
            <w:iCs/>
            <w:sz w:val="24"/>
            <w:szCs w:val="24"/>
          </w:rPr>
          <w:t>425, della legge 23 dicembre 2014, n. 190</w:t>
        </w:r>
      </w:hyperlink>
      <w:r w:rsidR="00E57961" w:rsidRPr="00E57961">
        <w:rPr>
          <w:i/>
          <w:sz w:val="24"/>
          <w:szCs w:val="24"/>
        </w:rPr>
        <w:t>, con quello del personale delle amministrazioni di destinazione, a decorrere dal 1°</w:t>
      </w:r>
      <w:r w:rsidR="00E57961" w:rsidRPr="00E57961">
        <w:rPr>
          <w:i/>
          <w:vanish/>
          <w:sz w:val="24"/>
          <w:szCs w:val="24"/>
        </w:rPr>
        <w:t>(gradi)</w:t>
      </w:r>
      <w:r w:rsidR="00E57961" w:rsidRPr="00E57961">
        <w:rPr>
          <w:i/>
          <w:sz w:val="24"/>
          <w:szCs w:val="24"/>
        </w:rPr>
        <w:t xml:space="preserve"> gennaio 2018 non si applica quanto </w:t>
      </w:r>
      <w:r w:rsidR="00E57961" w:rsidRPr="00E57961">
        <w:rPr>
          <w:i/>
          <w:sz w:val="24"/>
          <w:szCs w:val="24"/>
        </w:rPr>
        <w:lastRenderedPageBreak/>
        <w:t>previsto dall</w:t>
      </w:r>
      <w:r w:rsidR="007F41E3">
        <w:rPr>
          <w:i/>
          <w:sz w:val="24"/>
          <w:szCs w:val="24"/>
        </w:rPr>
        <w:t>’</w:t>
      </w:r>
      <w:hyperlink r:id="rId12" w:anchor="id=10LX0000797968ART13,__m=document" w:history="1">
        <w:r w:rsidR="00E57961" w:rsidRPr="00E57961">
          <w:rPr>
            <w:i/>
            <w:iCs/>
            <w:sz w:val="24"/>
            <w:szCs w:val="24"/>
          </w:rPr>
          <w:t>articolo 1, comma 96, lettera a), della predetta legge n. 56 del 2014</w:t>
        </w:r>
      </w:hyperlink>
      <w:r w:rsidR="00E57961" w:rsidRPr="00E57961">
        <w:rPr>
          <w:i/>
          <w:sz w:val="24"/>
          <w:szCs w:val="24"/>
        </w:rPr>
        <w:t>, fatto salvo il mantenimento dell</w:t>
      </w:r>
      <w:r w:rsidR="007F41E3">
        <w:rPr>
          <w:i/>
          <w:sz w:val="24"/>
          <w:szCs w:val="24"/>
        </w:rPr>
        <w:t>’</w:t>
      </w:r>
      <w:r w:rsidR="00E57961" w:rsidRPr="00E57961">
        <w:rPr>
          <w:i/>
          <w:sz w:val="24"/>
          <w:szCs w:val="24"/>
        </w:rPr>
        <w:t>assegno ad personam per le voci fisse e continuative, ove il trattamento economico dell</w:t>
      </w:r>
      <w:r w:rsidR="007F41E3">
        <w:rPr>
          <w:i/>
          <w:sz w:val="24"/>
          <w:szCs w:val="24"/>
        </w:rPr>
        <w:t>’</w:t>
      </w:r>
      <w:r w:rsidR="00E57961" w:rsidRPr="00E57961">
        <w:rPr>
          <w:i/>
          <w:sz w:val="24"/>
          <w:szCs w:val="24"/>
        </w:rPr>
        <w:t>amministrazione di destinazione sia inferiore a quello dell</w:t>
      </w:r>
      <w:r w:rsidR="007F41E3">
        <w:rPr>
          <w:i/>
          <w:sz w:val="24"/>
          <w:szCs w:val="24"/>
        </w:rPr>
        <w:t>’</w:t>
      </w:r>
      <w:r w:rsidR="00E57961" w:rsidRPr="00E57961">
        <w:rPr>
          <w:i/>
          <w:sz w:val="24"/>
          <w:szCs w:val="24"/>
        </w:rPr>
        <w:t>amministrazione di provenienza. Per le medesime finalità di cui al primo periodo, a decorrere dal 1°</w:t>
      </w:r>
      <w:r w:rsidR="00E57961" w:rsidRPr="00E57961">
        <w:rPr>
          <w:i/>
          <w:vanish/>
          <w:sz w:val="24"/>
          <w:szCs w:val="24"/>
        </w:rPr>
        <w:t>(gradi)</w:t>
      </w:r>
      <w:r w:rsidR="00E57961" w:rsidRPr="00E57961">
        <w:rPr>
          <w:i/>
          <w:sz w:val="24"/>
          <w:szCs w:val="24"/>
        </w:rPr>
        <w:t xml:space="preserve"> gennaio 2018 i fondi destinati al trattamento economico accessorio del personale, anche di livello dirigenziale, degli enti presso cui il predetto personale è transitato in misura superiore al numero del personale cessato possono essere</w:t>
      </w:r>
      <w:r w:rsidR="00E57961" w:rsidRPr="00E57961">
        <w:rPr>
          <w:b/>
          <w:i/>
          <w:sz w:val="24"/>
          <w:szCs w:val="24"/>
        </w:rPr>
        <w:t xml:space="preserve"> </w:t>
      </w:r>
      <w:r w:rsidR="00E57961" w:rsidRPr="00E57961">
        <w:rPr>
          <w:i/>
          <w:sz w:val="24"/>
          <w:szCs w:val="24"/>
        </w:rPr>
        <w:t>incrementati, con riferimento al medesimo personale, in misura non superiore alla differenza tra il valore medio individuale del trattamento economico accessorio del personale dell</w:t>
      </w:r>
      <w:r w:rsidR="007F41E3">
        <w:rPr>
          <w:i/>
          <w:sz w:val="24"/>
          <w:szCs w:val="24"/>
        </w:rPr>
        <w:t>’</w:t>
      </w:r>
      <w:r w:rsidR="00E57961" w:rsidRPr="00E57961">
        <w:rPr>
          <w:i/>
          <w:sz w:val="24"/>
          <w:szCs w:val="24"/>
        </w:rPr>
        <w:t>amministrazione di destinazione, calcolato con riferimento all</w:t>
      </w:r>
      <w:r w:rsidR="007F41E3">
        <w:rPr>
          <w:i/>
          <w:sz w:val="24"/>
          <w:szCs w:val="24"/>
        </w:rPr>
        <w:t>’</w:t>
      </w:r>
      <w:r w:rsidR="00E57961" w:rsidRPr="00E57961">
        <w:rPr>
          <w:i/>
          <w:sz w:val="24"/>
          <w:szCs w:val="24"/>
        </w:rPr>
        <w:t xml:space="preserve">anno 2016, e quello corrisposto, in applicazione del citato </w:t>
      </w:r>
      <w:hyperlink r:id="rId13" w:anchor="id=10LX0000797968ART13,__m=document" w:history="1">
        <w:r w:rsidR="00E57961" w:rsidRPr="00E57961">
          <w:rPr>
            <w:i/>
            <w:iCs/>
            <w:sz w:val="24"/>
            <w:szCs w:val="24"/>
          </w:rPr>
          <w:t>articolo 1, comma 96, lettera a), della legge n. 56 del 2014</w:t>
        </w:r>
      </w:hyperlink>
      <w:r w:rsidR="00E57961" w:rsidRPr="00E57961">
        <w:rPr>
          <w:i/>
          <w:sz w:val="24"/>
          <w:szCs w:val="24"/>
        </w:rPr>
        <w:t>, al personale trasferito, a condizione che siano rispettati i parametri di cui all</w:t>
      </w:r>
      <w:r w:rsidR="007F41E3">
        <w:rPr>
          <w:i/>
          <w:sz w:val="24"/>
          <w:szCs w:val="24"/>
        </w:rPr>
        <w:t>’</w:t>
      </w:r>
      <w:hyperlink r:id="rId14" w:anchor="id=10LX0000850658ART62,__m=document" w:history="1">
        <w:r w:rsidR="00E57961" w:rsidRPr="00E57961">
          <w:rPr>
            <w:i/>
            <w:iCs/>
            <w:sz w:val="24"/>
            <w:szCs w:val="24"/>
          </w:rPr>
          <w:t>articolo 23, comma 4, lettere a) e b), del decreto legislativo 25 maggio 2017, n. 75</w:t>
        </w:r>
      </w:hyperlink>
      <w:r w:rsidR="00E57961" w:rsidRPr="00E57961">
        <w:rPr>
          <w:i/>
          <w:sz w:val="24"/>
          <w:szCs w:val="24"/>
        </w:rPr>
        <w:t>. Ai conseguenti maggiori oneri le amministrazioni provvedono a valere e nei limiti delle rispettive facoltà assunzionali. Le regioni possono alternativamente provvedere ai predetti oneri anche a valere su proprie risorse, garantendo, in ogni caso, il rispetto dell</w:t>
      </w:r>
      <w:r w:rsidR="007F41E3">
        <w:rPr>
          <w:i/>
          <w:sz w:val="24"/>
          <w:szCs w:val="24"/>
        </w:rPr>
        <w:t>’</w:t>
      </w:r>
      <w:r w:rsidR="00E57961" w:rsidRPr="00E57961">
        <w:rPr>
          <w:i/>
          <w:sz w:val="24"/>
          <w:szCs w:val="24"/>
        </w:rPr>
        <w:t>equilibrio di bilancio</w:t>
      </w:r>
      <w:r w:rsidR="00E57961">
        <w:rPr>
          <w:sz w:val="24"/>
          <w:szCs w:val="24"/>
        </w:rPr>
        <w:t>”</w:t>
      </w:r>
      <w:r w:rsidR="008B1910">
        <w:rPr>
          <w:sz w:val="24"/>
          <w:szCs w:val="24"/>
        </w:rPr>
        <w:t>.</w:t>
      </w:r>
    </w:p>
    <w:p w:rsidR="00700525" w:rsidRPr="00AD2FDF" w:rsidRDefault="00E57961" w:rsidP="00700525">
      <w:pPr>
        <w:shd w:val="clear" w:color="auto" w:fill="FFFFFF"/>
        <w:spacing w:line="360" w:lineRule="auto"/>
        <w:ind w:firstLine="709"/>
        <w:jc w:val="both"/>
        <w:rPr>
          <w:sz w:val="24"/>
          <w:szCs w:val="24"/>
        </w:rPr>
      </w:pPr>
      <w:r>
        <w:rPr>
          <w:sz w:val="24"/>
          <w:szCs w:val="24"/>
        </w:rPr>
        <w:t xml:space="preserve">Tanto premesso, </w:t>
      </w:r>
      <w:r w:rsidR="00AF1800">
        <w:rPr>
          <w:sz w:val="24"/>
          <w:szCs w:val="24"/>
        </w:rPr>
        <w:t>nel</w:t>
      </w:r>
      <w:r w:rsidR="00935013">
        <w:rPr>
          <w:sz w:val="24"/>
          <w:szCs w:val="24"/>
        </w:rPr>
        <w:t xml:space="preserve"> r</w:t>
      </w:r>
      <w:r w:rsidR="008B1910">
        <w:rPr>
          <w:sz w:val="24"/>
          <w:szCs w:val="24"/>
        </w:rPr>
        <w:t>app</w:t>
      </w:r>
      <w:r w:rsidR="00935013">
        <w:rPr>
          <w:sz w:val="24"/>
          <w:szCs w:val="24"/>
        </w:rPr>
        <w:t>resenta</w:t>
      </w:r>
      <w:r w:rsidR="00AF1800">
        <w:rPr>
          <w:sz w:val="24"/>
          <w:szCs w:val="24"/>
        </w:rPr>
        <w:t>re</w:t>
      </w:r>
      <w:r w:rsidR="00935013">
        <w:rPr>
          <w:sz w:val="24"/>
          <w:szCs w:val="24"/>
        </w:rPr>
        <w:t xml:space="preserve"> </w:t>
      </w:r>
      <w:r w:rsidR="008B1910">
        <w:rPr>
          <w:sz w:val="24"/>
          <w:szCs w:val="24"/>
        </w:rPr>
        <w:t xml:space="preserve">che il legislatore ha inteso </w:t>
      </w:r>
      <w:r w:rsidR="00935013">
        <w:rPr>
          <w:sz w:val="24"/>
          <w:szCs w:val="24"/>
        </w:rPr>
        <w:t>disapplicare la previgente disciplina transitoria in materia di trattamento accessorio del personale</w:t>
      </w:r>
      <w:r w:rsidR="00700525">
        <w:rPr>
          <w:sz w:val="24"/>
          <w:szCs w:val="24"/>
        </w:rPr>
        <w:t xml:space="preserve"> in esame </w:t>
      </w:r>
      <w:r w:rsidR="00D60642">
        <w:rPr>
          <w:sz w:val="24"/>
          <w:szCs w:val="24"/>
        </w:rPr>
        <w:t>introdotta d</w:t>
      </w:r>
      <w:r w:rsidR="00700525">
        <w:rPr>
          <w:sz w:val="24"/>
          <w:szCs w:val="24"/>
        </w:rPr>
        <w:t>all</w:t>
      </w:r>
      <w:r w:rsidR="007F41E3">
        <w:rPr>
          <w:sz w:val="24"/>
          <w:szCs w:val="24"/>
        </w:rPr>
        <w:t>’</w:t>
      </w:r>
      <w:r w:rsidR="00700525">
        <w:rPr>
          <w:sz w:val="24"/>
          <w:szCs w:val="24"/>
        </w:rPr>
        <w:t>art. 1, comma 96, lettera a), della legge n. 56/2014, fatto salvo il mantenimento dell</w:t>
      </w:r>
      <w:r w:rsidR="007F41E3">
        <w:rPr>
          <w:sz w:val="24"/>
          <w:szCs w:val="24"/>
        </w:rPr>
        <w:t>’</w:t>
      </w:r>
      <w:r w:rsidR="00700525">
        <w:rPr>
          <w:sz w:val="24"/>
          <w:szCs w:val="24"/>
        </w:rPr>
        <w:t xml:space="preserve">assegno </w:t>
      </w:r>
      <w:r w:rsidR="00700525" w:rsidRPr="00700525">
        <w:rPr>
          <w:i/>
          <w:sz w:val="24"/>
          <w:szCs w:val="24"/>
        </w:rPr>
        <w:t>ad personam</w:t>
      </w:r>
      <w:r w:rsidR="00700525">
        <w:rPr>
          <w:sz w:val="24"/>
          <w:szCs w:val="24"/>
        </w:rPr>
        <w:t xml:space="preserve"> per le voci fisse e continuative, ove il trattamento economico dell</w:t>
      </w:r>
      <w:r w:rsidR="007F41E3">
        <w:rPr>
          <w:sz w:val="24"/>
          <w:szCs w:val="24"/>
        </w:rPr>
        <w:t>’</w:t>
      </w:r>
      <w:r w:rsidR="00700525">
        <w:rPr>
          <w:sz w:val="24"/>
          <w:szCs w:val="24"/>
        </w:rPr>
        <w:t>amministrazione di destinazione sia inferiore a quello dell</w:t>
      </w:r>
      <w:r w:rsidR="007F41E3">
        <w:rPr>
          <w:sz w:val="24"/>
          <w:szCs w:val="24"/>
        </w:rPr>
        <w:t>’</w:t>
      </w:r>
      <w:r w:rsidR="00700525">
        <w:rPr>
          <w:sz w:val="24"/>
          <w:szCs w:val="24"/>
        </w:rPr>
        <w:t xml:space="preserve">amministrazione di provenienza, prevedendo </w:t>
      </w:r>
      <w:r w:rsidR="00935013" w:rsidRPr="00700525">
        <w:rPr>
          <w:sz w:val="24"/>
          <w:szCs w:val="24"/>
        </w:rPr>
        <w:t>la progressiva armonizzazione d</w:t>
      </w:r>
      <w:r w:rsidR="00700525" w:rsidRPr="00700525">
        <w:rPr>
          <w:sz w:val="24"/>
          <w:szCs w:val="24"/>
        </w:rPr>
        <w:t>i tale componente retributiva</w:t>
      </w:r>
      <w:r w:rsidR="00AF1800" w:rsidRPr="00AF1800">
        <w:rPr>
          <w:sz w:val="24"/>
          <w:szCs w:val="24"/>
        </w:rPr>
        <w:t xml:space="preserve"> </w:t>
      </w:r>
      <w:r w:rsidR="00AF1800">
        <w:rPr>
          <w:sz w:val="24"/>
          <w:szCs w:val="24"/>
        </w:rPr>
        <w:t>a decorrere dal 1°</w:t>
      </w:r>
      <w:r w:rsidR="00334D52">
        <w:rPr>
          <w:sz w:val="24"/>
          <w:szCs w:val="24"/>
        </w:rPr>
        <w:t xml:space="preserve"> </w:t>
      </w:r>
      <w:r w:rsidR="00AF1800">
        <w:rPr>
          <w:sz w:val="24"/>
          <w:szCs w:val="24"/>
        </w:rPr>
        <w:t>gennaio 2018</w:t>
      </w:r>
      <w:r w:rsidR="00700525">
        <w:rPr>
          <w:sz w:val="24"/>
          <w:szCs w:val="24"/>
        </w:rPr>
        <w:t xml:space="preserve">, </w:t>
      </w:r>
      <w:r w:rsidR="00700525" w:rsidRPr="00AD2FDF">
        <w:rPr>
          <w:sz w:val="24"/>
          <w:szCs w:val="24"/>
        </w:rPr>
        <w:t>appare opportuno fornire le seguenti ulteriori indicazioni.</w:t>
      </w:r>
    </w:p>
    <w:p w:rsidR="007F41E3" w:rsidRPr="00AD2FDF" w:rsidRDefault="00AF1800" w:rsidP="000B177C">
      <w:pPr>
        <w:pStyle w:val="Paragrafoelenco"/>
        <w:numPr>
          <w:ilvl w:val="0"/>
          <w:numId w:val="24"/>
        </w:numPr>
        <w:overflowPunct/>
        <w:autoSpaceDE/>
        <w:autoSpaceDN/>
        <w:adjustRightInd/>
        <w:spacing w:line="360" w:lineRule="auto"/>
        <w:jc w:val="both"/>
        <w:textAlignment w:val="auto"/>
        <w:rPr>
          <w:sz w:val="24"/>
          <w:szCs w:val="24"/>
        </w:rPr>
      </w:pPr>
      <w:r w:rsidRPr="00AD2FDF">
        <w:rPr>
          <w:sz w:val="24"/>
          <w:szCs w:val="24"/>
        </w:rPr>
        <w:t xml:space="preserve">Le amministrazioni </w:t>
      </w:r>
      <w:r w:rsidR="008B1910" w:rsidRPr="00AD2FDF">
        <w:rPr>
          <w:sz w:val="24"/>
          <w:szCs w:val="24"/>
        </w:rPr>
        <w:t>poss</w:t>
      </w:r>
      <w:r w:rsidRPr="00AD2FDF">
        <w:rPr>
          <w:sz w:val="24"/>
          <w:szCs w:val="24"/>
        </w:rPr>
        <w:t>ono</w:t>
      </w:r>
      <w:r w:rsidR="008B1910" w:rsidRPr="00AD2FDF">
        <w:rPr>
          <w:sz w:val="24"/>
          <w:szCs w:val="24"/>
        </w:rPr>
        <w:t xml:space="preserve"> incrementare i fondi, anche del personale dirigenziale, oltre il tetto</w:t>
      </w:r>
      <w:r w:rsidRPr="00AD2FDF">
        <w:rPr>
          <w:sz w:val="24"/>
          <w:szCs w:val="24"/>
        </w:rPr>
        <w:t xml:space="preserve"> stabilito</w:t>
      </w:r>
      <w:r w:rsidR="008B1910" w:rsidRPr="00AD2FDF">
        <w:rPr>
          <w:sz w:val="24"/>
          <w:szCs w:val="24"/>
        </w:rPr>
        <w:t xml:space="preserve"> d</w:t>
      </w:r>
      <w:r w:rsidRPr="00AD2FDF">
        <w:rPr>
          <w:sz w:val="24"/>
          <w:szCs w:val="24"/>
        </w:rPr>
        <w:t>all</w:t>
      </w:r>
      <w:r w:rsidR="007F41E3" w:rsidRPr="00AD2FDF">
        <w:rPr>
          <w:sz w:val="24"/>
          <w:szCs w:val="24"/>
        </w:rPr>
        <w:t>’</w:t>
      </w:r>
      <w:r w:rsidR="008B1910" w:rsidRPr="00AD2FDF">
        <w:rPr>
          <w:sz w:val="24"/>
          <w:szCs w:val="24"/>
        </w:rPr>
        <w:t>art. 23, comma 2</w:t>
      </w:r>
      <w:r w:rsidRPr="00AD2FDF">
        <w:rPr>
          <w:sz w:val="24"/>
          <w:szCs w:val="24"/>
        </w:rPr>
        <w:t>, del d.lgs. n. 75/2017, limitatamente alla sola</w:t>
      </w:r>
      <w:r w:rsidR="008B1910" w:rsidRPr="00AD2FDF">
        <w:rPr>
          <w:sz w:val="24"/>
          <w:szCs w:val="24"/>
        </w:rPr>
        <w:t xml:space="preserve"> differenza</w:t>
      </w:r>
      <w:r w:rsidRPr="00AD2FDF">
        <w:rPr>
          <w:sz w:val="24"/>
          <w:szCs w:val="24"/>
        </w:rPr>
        <w:t xml:space="preserve"> eccedente</w:t>
      </w:r>
      <w:r w:rsidR="008B1910" w:rsidRPr="00AD2FDF">
        <w:rPr>
          <w:sz w:val="24"/>
          <w:szCs w:val="24"/>
        </w:rPr>
        <w:t xml:space="preserve"> tra il numero delle unità di ex provinciali</w:t>
      </w:r>
      <w:r w:rsidR="007F41E3" w:rsidRPr="00AD2FDF">
        <w:rPr>
          <w:sz w:val="24"/>
          <w:szCs w:val="24"/>
        </w:rPr>
        <w:t xml:space="preserve"> </w:t>
      </w:r>
      <w:r w:rsidR="008B1910" w:rsidRPr="00AD2FDF">
        <w:rPr>
          <w:sz w:val="24"/>
          <w:szCs w:val="24"/>
        </w:rPr>
        <w:t>trasferito ed il numero di unità d</w:t>
      </w:r>
      <w:r w:rsidRPr="00AD2FDF">
        <w:rPr>
          <w:sz w:val="24"/>
          <w:szCs w:val="24"/>
        </w:rPr>
        <w:t xml:space="preserve">el proprio </w:t>
      </w:r>
      <w:r w:rsidR="008B1910" w:rsidRPr="00AD2FDF">
        <w:rPr>
          <w:sz w:val="24"/>
          <w:szCs w:val="24"/>
        </w:rPr>
        <w:t xml:space="preserve">personale </w:t>
      </w:r>
      <w:r w:rsidRPr="00AD2FDF">
        <w:rPr>
          <w:sz w:val="24"/>
          <w:szCs w:val="24"/>
        </w:rPr>
        <w:t>c</w:t>
      </w:r>
      <w:r w:rsidR="008B1910" w:rsidRPr="00AD2FDF">
        <w:rPr>
          <w:sz w:val="24"/>
          <w:szCs w:val="24"/>
        </w:rPr>
        <w:t>essato dal servizio</w:t>
      </w:r>
      <w:r w:rsidRPr="00AD2FDF">
        <w:rPr>
          <w:sz w:val="24"/>
          <w:szCs w:val="24"/>
        </w:rPr>
        <w:t>;</w:t>
      </w:r>
    </w:p>
    <w:p w:rsidR="006F03E2" w:rsidRPr="00AD2FDF" w:rsidRDefault="009117F3" w:rsidP="000B177C">
      <w:pPr>
        <w:pStyle w:val="Paragrafoelenco"/>
        <w:numPr>
          <w:ilvl w:val="0"/>
          <w:numId w:val="24"/>
        </w:numPr>
        <w:overflowPunct/>
        <w:autoSpaceDE/>
        <w:autoSpaceDN/>
        <w:adjustRightInd/>
        <w:spacing w:line="360" w:lineRule="auto"/>
        <w:jc w:val="both"/>
        <w:textAlignment w:val="auto"/>
        <w:rPr>
          <w:sz w:val="24"/>
          <w:szCs w:val="24"/>
        </w:rPr>
      </w:pPr>
      <w:r w:rsidRPr="00AD2FDF">
        <w:rPr>
          <w:sz w:val="24"/>
          <w:szCs w:val="24"/>
        </w:rPr>
        <w:t>l</w:t>
      </w:r>
      <w:r w:rsidR="00AF1800" w:rsidRPr="00AD2FDF">
        <w:rPr>
          <w:sz w:val="24"/>
          <w:szCs w:val="24"/>
        </w:rPr>
        <w:t xml:space="preserve">a quantificazione del predetto </w:t>
      </w:r>
      <w:r w:rsidR="001328AC" w:rsidRPr="00AD2FDF">
        <w:rPr>
          <w:sz w:val="24"/>
          <w:szCs w:val="24"/>
        </w:rPr>
        <w:t xml:space="preserve">eventuale </w:t>
      </w:r>
      <w:r w:rsidR="00AF1800" w:rsidRPr="00AD2FDF">
        <w:rPr>
          <w:sz w:val="24"/>
          <w:szCs w:val="24"/>
        </w:rPr>
        <w:t xml:space="preserve">incremento </w:t>
      </w:r>
      <w:r w:rsidR="001328AC" w:rsidRPr="00AD2FDF">
        <w:rPr>
          <w:sz w:val="24"/>
          <w:szCs w:val="24"/>
        </w:rPr>
        <w:t>va</w:t>
      </w:r>
      <w:r w:rsidR="00AF1800" w:rsidRPr="00AD2FDF">
        <w:rPr>
          <w:sz w:val="24"/>
          <w:szCs w:val="24"/>
        </w:rPr>
        <w:t xml:space="preserve"> calcolata </w:t>
      </w:r>
      <w:r w:rsidR="001328AC" w:rsidRPr="00AD2FDF">
        <w:rPr>
          <w:sz w:val="24"/>
          <w:szCs w:val="24"/>
        </w:rPr>
        <w:t xml:space="preserve">sulla base del </w:t>
      </w:r>
      <w:r w:rsidR="008B1910" w:rsidRPr="00AD2FDF">
        <w:rPr>
          <w:sz w:val="24"/>
          <w:szCs w:val="24"/>
        </w:rPr>
        <w:t>differenz</w:t>
      </w:r>
      <w:r w:rsidR="001328AC" w:rsidRPr="00AD2FDF">
        <w:rPr>
          <w:sz w:val="24"/>
          <w:szCs w:val="24"/>
        </w:rPr>
        <w:t>iale,</w:t>
      </w:r>
      <w:r w:rsidR="0059130D" w:rsidRPr="00AD2FDF">
        <w:rPr>
          <w:sz w:val="24"/>
          <w:szCs w:val="24"/>
        </w:rPr>
        <w:t xml:space="preserve"> riferit</w:t>
      </w:r>
      <w:r w:rsidR="001328AC" w:rsidRPr="00AD2FDF">
        <w:rPr>
          <w:sz w:val="24"/>
          <w:szCs w:val="24"/>
        </w:rPr>
        <w:t>o</w:t>
      </w:r>
      <w:r w:rsidR="0059130D" w:rsidRPr="00AD2FDF">
        <w:rPr>
          <w:sz w:val="24"/>
          <w:szCs w:val="24"/>
        </w:rPr>
        <w:t xml:space="preserve"> all</w:t>
      </w:r>
      <w:r w:rsidR="007F41E3" w:rsidRPr="00AD2FDF">
        <w:rPr>
          <w:sz w:val="24"/>
          <w:szCs w:val="24"/>
        </w:rPr>
        <w:t>’</w:t>
      </w:r>
      <w:r w:rsidR="0059130D" w:rsidRPr="00AD2FDF">
        <w:rPr>
          <w:sz w:val="24"/>
          <w:szCs w:val="24"/>
        </w:rPr>
        <w:t>anno 2016,</w:t>
      </w:r>
      <w:r w:rsidR="008B1910" w:rsidRPr="00AD2FDF">
        <w:rPr>
          <w:sz w:val="24"/>
          <w:szCs w:val="24"/>
        </w:rPr>
        <w:t xml:space="preserve"> </w:t>
      </w:r>
      <w:r w:rsidR="001328AC" w:rsidRPr="00AD2FDF">
        <w:rPr>
          <w:sz w:val="24"/>
          <w:szCs w:val="24"/>
        </w:rPr>
        <w:t>tra il</w:t>
      </w:r>
      <w:r w:rsidR="008B1910" w:rsidRPr="00AD2FDF">
        <w:rPr>
          <w:sz w:val="24"/>
          <w:szCs w:val="24"/>
        </w:rPr>
        <w:t xml:space="preserve"> valore medio </w:t>
      </w:r>
      <w:r w:rsidR="000B177C" w:rsidRPr="00AD2FDF">
        <w:rPr>
          <w:sz w:val="24"/>
          <w:szCs w:val="24"/>
        </w:rPr>
        <w:t>pro-capite</w:t>
      </w:r>
      <w:r w:rsidR="008B1910" w:rsidRPr="00AD2FDF">
        <w:rPr>
          <w:sz w:val="24"/>
          <w:szCs w:val="24"/>
        </w:rPr>
        <w:t xml:space="preserve"> del trattamento accessorio di destinazion</w:t>
      </w:r>
      <w:r w:rsidR="000069D7" w:rsidRPr="00AD2FDF">
        <w:rPr>
          <w:sz w:val="24"/>
          <w:szCs w:val="24"/>
        </w:rPr>
        <w:t xml:space="preserve">e </w:t>
      </w:r>
      <w:r w:rsidR="008B1910" w:rsidRPr="00AD2FDF">
        <w:rPr>
          <w:sz w:val="24"/>
          <w:szCs w:val="24"/>
        </w:rPr>
        <w:t>e</w:t>
      </w:r>
      <w:r w:rsidR="006F03E2" w:rsidRPr="00AD2FDF">
        <w:rPr>
          <w:sz w:val="24"/>
          <w:szCs w:val="24"/>
        </w:rPr>
        <w:t xml:space="preserve"> </w:t>
      </w:r>
      <w:r w:rsidR="001328AC" w:rsidRPr="00AD2FDF">
        <w:rPr>
          <w:sz w:val="24"/>
          <w:szCs w:val="24"/>
        </w:rPr>
        <w:t>ed</w:t>
      </w:r>
      <w:r w:rsidR="008B1910" w:rsidRPr="00AD2FDF">
        <w:rPr>
          <w:sz w:val="24"/>
          <w:szCs w:val="24"/>
        </w:rPr>
        <w:t xml:space="preserve"> </w:t>
      </w:r>
      <w:r w:rsidR="001328AC" w:rsidRPr="00AD2FDF">
        <w:rPr>
          <w:sz w:val="24"/>
          <w:szCs w:val="24"/>
        </w:rPr>
        <w:t>i</w:t>
      </w:r>
      <w:r w:rsidR="008B1910" w:rsidRPr="00AD2FDF">
        <w:rPr>
          <w:sz w:val="24"/>
          <w:szCs w:val="24"/>
        </w:rPr>
        <w:t>l valore medio</w:t>
      </w:r>
      <w:r w:rsidR="000069D7" w:rsidRPr="00AD2FDF">
        <w:rPr>
          <w:sz w:val="24"/>
          <w:szCs w:val="24"/>
        </w:rPr>
        <w:t xml:space="preserve"> </w:t>
      </w:r>
      <w:r w:rsidR="000B177C" w:rsidRPr="00AD2FDF">
        <w:rPr>
          <w:sz w:val="24"/>
          <w:szCs w:val="24"/>
        </w:rPr>
        <w:t>pro-capite</w:t>
      </w:r>
      <w:r w:rsidR="008B1910" w:rsidRPr="00AD2FDF">
        <w:rPr>
          <w:sz w:val="24"/>
          <w:szCs w:val="24"/>
        </w:rPr>
        <w:t xml:space="preserve"> del trattamento accessorio di provenienza</w:t>
      </w:r>
      <w:r w:rsidR="00CC2422" w:rsidRPr="00AD2FDF">
        <w:rPr>
          <w:sz w:val="24"/>
          <w:szCs w:val="24"/>
        </w:rPr>
        <w:t>;</w:t>
      </w:r>
    </w:p>
    <w:p w:rsidR="000069D7" w:rsidRDefault="000069D7" w:rsidP="00955858">
      <w:pPr>
        <w:pStyle w:val="Paragrafoelenco"/>
        <w:numPr>
          <w:ilvl w:val="0"/>
          <w:numId w:val="24"/>
        </w:numPr>
        <w:overflowPunct/>
        <w:autoSpaceDE/>
        <w:autoSpaceDN/>
        <w:adjustRightInd/>
        <w:spacing w:line="360" w:lineRule="auto"/>
        <w:jc w:val="both"/>
        <w:textAlignment w:val="auto"/>
        <w:rPr>
          <w:sz w:val="24"/>
          <w:szCs w:val="24"/>
        </w:rPr>
      </w:pPr>
      <w:r w:rsidRPr="00AD2FDF">
        <w:rPr>
          <w:sz w:val="24"/>
          <w:szCs w:val="24"/>
        </w:rPr>
        <w:t>l</w:t>
      </w:r>
      <w:r w:rsidR="00CC2422" w:rsidRPr="00AD2FDF">
        <w:rPr>
          <w:sz w:val="24"/>
          <w:szCs w:val="24"/>
        </w:rPr>
        <w:t xml:space="preserve">a possibilità di </w:t>
      </w:r>
      <w:r w:rsidRPr="00AD2FDF">
        <w:rPr>
          <w:sz w:val="24"/>
          <w:szCs w:val="24"/>
        </w:rPr>
        <w:t>integrazione dei fondi è, in ogni caso, subordinata al rispetto dei parametri di virtuosità finanziaria</w:t>
      </w:r>
      <w:r w:rsidR="00CC2422" w:rsidRPr="00AD2FDF">
        <w:rPr>
          <w:sz w:val="24"/>
          <w:szCs w:val="24"/>
        </w:rPr>
        <w:t>,</w:t>
      </w:r>
      <w:r w:rsidR="002E4861" w:rsidRPr="00AD2FDF">
        <w:rPr>
          <w:sz w:val="24"/>
          <w:szCs w:val="24"/>
        </w:rPr>
        <w:t xml:space="preserve"> come</w:t>
      </w:r>
      <w:r w:rsidRPr="00AD2FDF">
        <w:rPr>
          <w:sz w:val="24"/>
          <w:szCs w:val="24"/>
        </w:rPr>
        <w:t xml:space="preserve"> </w:t>
      </w:r>
      <w:r w:rsidR="002E4861" w:rsidRPr="00AD2FDF">
        <w:rPr>
          <w:sz w:val="24"/>
          <w:szCs w:val="24"/>
        </w:rPr>
        <w:t xml:space="preserve">individuati </w:t>
      </w:r>
      <w:r w:rsidRPr="00AD2FDF">
        <w:rPr>
          <w:sz w:val="24"/>
          <w:szCs w:val="24"/>
        </w:rPr>
        <w:t>dall</w:t>
      </w:r>
      <w:r w:rsidR="007F41E3" w:rsidRPr="00AD2FDF">
        <w:rPr>
          <w:sz w:val="24"/>
          <w:szCs w:val="24"/>
        </w:rPr>
        <w:t>’</w:t>
      </w:r>
      <w:r w:rsidRPr="00AD2FDF">
        <w:rPr>
          <w:sz w:val="24"/>
          <w:szCs w:val="24"/>
        </w:rPr>
        <w:t>art. 23,</w:t>
      </w:r>
      <w:r>
        <w:rPr>
          <w:sz w:val="24"/>
          <w:szCs w:val="24"/>
        </w:rPr>
        <w:t xml:space="preserve"> comma 4, letter</w:t>
      </w:r>
      <w:r w:rsidR="002C17EF">
        <w:rPr>
          <w:sz w:val="24"/>
          <w:szCs w:val="24"/>
        </w:rPr>
        <w:t>e a) e b), del d.lgs. n. 75/2017</w:t>
      </w:r>
      <w:r w:rsidR="00CC2422">
        <w:rPr>
          <w:sz w:val="24"/>
          <w:szCs w:val="24"/>
        </w:rPr>
        <w:t>,</w:t>
      </w:r>
      <w:r>
        <w:rPr>
          <w:sz w:val="24"/>
          <w:szCs w:val="24"/>
        </w:rPr>
        <w:t xml:space="preserve"> che di seguito </w:t>
      </w:r>
      <w:r w:rsidR="002E4861">
        <w:rPr>
          <w:sz w:val="24"/>
          <w:szCs w:val="24"/>
        </w:rPr>
        <w:t>s</w:t>
      </w:r>
      <w:r>
        <w:rPr>
          <w:sz w:val="24"/>
          <w:szCs w:val="24"/>
        </w:rPr>
        <w:t>i ri</w:t>
      </w:r>
      <w:r w:rsidR="002E4861">
        <w:rPr>
          <w:sz w:val="24"/>
          <w:szCs w:val="24"/>
        </w:rPr>
        <w:t>chiamano</w:t>
      </w:r>
      <w:r>
        <w:rPr>
          <w:sz w:val="24"/>
          <w:szCs w:val="24"/>
        </w:rPr>
        <w:t>:</w:t>
      </w:r>
    </w:p>
    <w:p w:rsidR="000069D7" w:rsidRPr="002E4861" w:rsidRDefault="002E4861" w:rsidP="00955858">
      <w:pPr>
        <w:pStyle w:val="Paragrafoelenco"/>
        <w:numPr>
          <w:ilvl w:val="0"/>
          <w:numId w:val="25"/>
        </w:numPr>
        <w:overflowPunct/>
        <w:autoSpaceDE/>
        <w:autoSpaceDN/>
        <w:adjustRightInd/>
        <w:spacing w:line="360" w:lineRule="auto"/>
        <w:jc w:val="both"/>
        <w:textAlignment w:val="auto"/>
        <w:rPr>
          <w:sz w:val="24"/>
          <w:szCs w:val="24"/>
        </w:rPr>
      </w:pPr>
      <w:r w:rsidRPr="002E4861">
        <w:rPr>
          <w:sz w:val="24"/>
          <w:szCs w:val="24"/>
        </w:rPr>
        <w:lastRenderedPageBreak/>
        <w:t>rapporto tra le s</w:t>
      </w:r>
      <w:r>
        <w:rPr>
          <w:sz w:val="24"/>
          <w:szCs w:val="24"/>
        </w:rPr>
        <w:t>pese</w:t>
      </w:r>
      <w:r w:rsidRPr="002E4861">
        <w:rPr>
          <w:sz w:val="24"/>
          <w:szCs w:val="24"/>
        </w:rPr>
        <w:t xml:space="preserve"> di personale le entrate correnti considerate al netto di quelle a destinazione vincolata, fermo r</w:t>
      </w:r>
      <w:r>
        <w:rPr>
          <w:sz w:val="24"/>
          <w:szCs w:val="24"/>
        </w:rPr>
        <w:t>e</w:t>
      </w:r>
      <w:r w:rsidRPr="002E4861">
        <w:rPr>
          <w:sz w:val="24"/>
          <w:szCs w:val="24"/>
        </w:rPr>
        <w:t>stando quanto disposto dall</w:t>
      </w:r>
      <w:r w:rsidR="007F41E3">
        <w:rPr>
          <w:sz w:val="24"/>
          <w:szCs w:val="24"/>
        </w:rPr>
        <w:t>’</w:t>
      </w:r>
      <w:r w:rsidRPr="002E4861">
        <w:rPr>
          <w:sz w:val="24"/>
          <w:szCs w:val="24"/>
        </w:rPr>
        <w:t>art. 1, comma 557</w:t>
      </w:r>
      <w:r w:rsidR="007F41E3">
        <w:rPr>
          <w:sz w:val="24"/>
          <w:szCs w:val="24"/>
        </w:rPr>
        <w:noBreakHyphen/>
      </w:r>
      <w:r w:rsidRPr="002E4861">
        <w:rPr>
          <w:i/>
          <w:sz w:val="24"/>
          <w:szCs w:val="24"/>
        </w:rPr>
        <w:t>quate</w:t>
      </w:r>
      <w:r w:rsidRPr="002E4861">
        <w:rPr>
          <w:sz w:val="24"/>
          <w:szCs w:val="24"/>
        </w:rPr>
        <w:t>r, della legge n. 296/2006;</w:t>
      </w:r>
    </w:p>
    <w:p w:rsidR="002E4861" w:rsidRDefault="002E4861" w:rsidP="00955858">
      <w:pPr>
        <w:pStyle w:val="Paragrafoelenco"/>
        <w:numPr>
          <w:ilvl w:val="0"/>
          <w:numId w:val="25"/>
        </w:numPr>
        <w:overflowPunct/>
        <w:autoSpaceDE/>
        <w:autoSpaceDN/>
        <w:adjustRightInd/>
        <w:spacing w:line="360" w:lineRule="auto"/>
        <w:jc w:val="both"/>
        <w:textAlignment w:val="auto"/>
        <w:rPr>
          <w:sz w:val="24"/>
          <w:szCs w:val="24"/>
        </w:rPr>
      </w:pPr>
      <w:r w:rsidRPr="002E4861">
        <w:rPr>
          <w:sz w:val="24"/>
          <w:szCs w:val="24"/>
        </w:rPr>
        <w:t>rispetto del pareggio degli obiettivi del pareggio di bilancio di cui all</w:t>
      </w:r>
      <w:r w:rsidR="007F41E3">
        <w:rPr>
          <w:sz w:val="24"/>
          <w:szCs w:val="24"/>
        </w:rPr>
        <w:t>’</w:t>
      </w:r>
      <w:r w:rsidRPr="002E4861">
        <w:rPr>
          <w:sz w:val="24"/>
          <w:szCs w:val="24"/>
        </w:rPr>
        <w:t xml:space="preserve">art. 9 della legge n. </w:t>
      </w:r>
      <w:r>
        <w:rPr>
          <w:sz w:val="24"/>
          <w:szCs w:val="24"/>
        </w:rPr>
        <w:t>243/2012;</w:t>
      </w:r>
    </w:p>
    <w:p w:rsidR="007F41E3" w:rsidRDefault="00CC2422" w:rsidP="006F4927">
      <w:pPr>
        <w:pStyle w:val="Paragrafoelenco"/>
        <w:numPr>
          <w:ilvl w:val="0"/>
          <w:numId w:val="24"/>
        </w:numPr>
        <w:overflowPunct/>
        <w:autoSpaceDE/>
        <w:autoSpaceDN/>
        <w:adjustRightInd/>
        <w:spacing w:line="360" w:lineRule="auto"/>
        <w:jc w:val="both"/>
        <w:textAlignment w:val="auto"/>
        <w:rPr>
          <w:sz w:val="24"/>
          <w:szCs w:val="24"/>
        </w:rPr>
      </w:pPr>
      <w:r w:rsidRPr="00955858">
        <w:rPr>
          <w:sz w:val="24"/>
          <w:szCs w:val="24"/>
        </w:rPr>
        <w:t xml:space="preserve">gli oneri </w:t>
      </w:r>
      <w:r w:rsidR="00045FB0" w:rsidRPr="00955858">
        <w:rPr>
          <w:sz w:val="24"/>
          <w:szCs w:val="24"/>
        </w:rPr>
        <w:t>conseguenti all</w:t>
      </w:r>
      <w:r w:rsidR="007F41E3">
        <w:rPr>
          <w:sz w:val="24"/>
          <w:szCs w:val="24"/>
        </w:rPr>
        <w:t>’</w:t>
      </w:r>
      <w:r w:rsidR="00045FB0" w:rsidRPr="00955858">
        <w:rPr>
          <w:sz w:val="24"/>
          <w:szCs w:val="24"/>
        </w:rPr>
        <w:t>incremento dei fondi trovano copertura a valere e</w:t>
      </w:r>
      <w:r w:rsidR="007F41E3">
        <w:rPr>
          <w:sz w:val="24"/>
          <w:szCs w:val="24"/>
        </w:rPr>
        <w:t xml:space="preserve"> nei</w:t>
      </w:r>
      <w:r w:rsidR="00045FB0" w:rsidRPr="00955858">
        <w:rPr>
          <w:sz w:val="24"/>
          <w:szCs w:val="24"/>
        </w:rPr>
        <w:t xml:space="preserve"> li</w:t>
      </w:r>
      <w:r w:rsidR="00955858" w:rsidRPr="00955858">
        <w:rPr>
          <w:sz w:val="24"/>
          <w:szCs w:val="24"/>
        </w:rPr>
        <w:t>m</w:t>
      </w:r>
      <w:r w:rsidR="00045FB0" w:rsidRPr="00955858">
        <w:rPr>
          <w:sz w:val="24"/>
          <w:szCs w:val="24"/>
        </w:rPr>
        <w:t>iti delle facoltà assunzionali di ciascuna amministrazione destinataria di tale personale;</w:t>
      </w:r>
      <w:r w:rsidR="007F41E3">
        <w:rPr>
          <w:sz w:val="24"/>
          <w:szCs w:val="24"/>
        </w:rPr>
        <w:t xml:space="preserve"> </w:t>
      </w:r>
      <w:r w:rsidR="00045FB0" w:rsidRPr="00955858">
        <w:rPr>
          <w:sz w:val="24"/>
          <w:szCs w:val="24"/>
        </w:rPr>
        <w:t>le sole regioni, in alternativa alla predetta copertura a valere e nei limiti delle proprie facoltà assunzionali</w:t>
      </w:r>
      <w:r w:rsidR="00955858">
        <w:rPr>
          <w:sz w:val="24"/>
          <w:szCs w:val="24"/>
        </w:rPr>
        <w:t xml:space="preserve"> e fermo restando il rispetto dei parametri individuati dall</w:t>
      </w:r>
      <w:r w:rsidR="007F41E3">
        <w:rPr>
          <w:sz w:val="24"/>
          <w:szCs w:val="24"/>
        </w:rPr>
        <w:t>’</w:t>
      </w:r>
      <w:r w:rsidR="00955858">
        <w:rPr>
          <w:sz w:val="24"/>
          <w:szCs w:val="24"/>
        </w:rPr>
        <w:t>art. 23, comma 4, letter</w:t>
      </w:r>
      <w:r w:rsidR="002C17EF">
        <w:rPr>
          <w:sz w:val="24"/>
          <w:szCs w:val="24"/>
        </w:rPr>
        <w:t>e a) e b), del d.lgs. n. 75/2017</w:t>
      </w:r>
      <w:r w:rsidR="00045FB0" w:rsidRPr="00955858">
        <w:rPr>
          <w:sz w:val="24"/>
          <w:szCs w:val="24"/>
        </w:rPr>
        <w:t>, possono provvedere agli oneri derivanti dall</w:t>
      </w:r>
      <w:r w:rsidR="007F41E3">
        <w:rPr>
          <w:sz w:val="24"/>
          <w:szCs w:val="24"/>
        </w:rPr>
        <w:t>’</w:t>
      </w:r>
      <w:r w:rsidR="00045FB0" w:rsidRPr="00955858">
        <w:rPr>
          <w:sz w:val="24"/>
          <w:szCs w:val="24"/>
        </w:rPr>
        <w:t>incremento dei fondi, a valere con risorse proprie garantendo, in ogni caso, il rispetto dell</w:t>
      </w:r>
      <w:r w:rsidR="007F41E3">
        <w:rPr>
          <w:sz w:val="24"/>
          <w:szCs w:val="24"/>
        </w:rPr>
        <w:t>’</w:t>
      </w:r>
      <w:r w:rsidR="00045FB0" w:rsidRPr="00955858">
        <w:rPr>
          <w:sz w:val="24"/>
          <w:szCs w:val="24"/>
        </w:rPr>
        <w:t>equilibrio di bilancio.</w:t>
      </w:r>
    </w:p>
    <w:p w:rsidR="00132F95" w:rsidRDefault="00132F95" w:rsidP="00132F95">
      <w:pPr>
        <w:overflowPunct/>
        <w:autoSpaceDE/>
        <w:autoSpaceDN/>
        <w:adjustRightInd/>
        <w:spacing w:line="360" w:lineRule="auto"/>
        <w:ind w:firstLine="709"/>
        <w:jc w:val="both"/>
        <w:textAlignment w:val="auto"/>
        <w:rPr>
          <w:sz w:val="24"/>
          <w:szCs w:val="24"/>
        </w:rPr>
      </w:pPr>
    </w:p>
    <w:p w:rsidR="0021005E" w:rsidRDefault="00045FB0" w:rsidP="00132F95">
      <w:pPr>
        <w:overflowPunct/>
        <w:autoSpaceDE/>
        <w:autoSpaceDN/>
        <w:adjustRightInd/>
        <w:spacing w:line="360" w:lineRule="auto"/>
        <w:ind w:firstLine="709"/>
        <w:jc w:val="both"/>
        <w:textAlignment w:val="auto"/>
        <w:rPr>
          <w:sz w:val="24"/>
          <w:szCs w:val="24"/>
        </w:rPr>
      </w:pPr>
      <w:r w:rsidRPr="00E57961">
        <w:rPr>
          <w:sz w:val="24"/>
          <w:szCs w:val="24"/>
        </w:rPr>
        <w:t xml:space="preserve">Per quanto riguarda il </w:t>
      </w:r>
      <w:r>
        <w:rPr>
          <w:sz w:val="24"/>
          <w:szCs w:val="24"/>
        </w:rPr>
        <w:t>secondo</w:t>
      </w:r>
      <w:r w:rsidRPr="00E57961">
        <w:rPr>
          <w:sz w:val="24"/>
          <w:szCs w:val="24"/>
        </w:rPr>
        <w:t xml:space="preserve"> quesito posto,</w:t>
      </w:r>
      <w:r w:rsidR="00CE1875">
        <w:rPr>
          <w:sz w:val="24"/>
          <w:szCs w:val="24"/>
        </w:rPr>
        <w:t xml:space="preserve"> volto a ch</w:t>
      </w:r>
      <w:r w:rsidR="0021005E">
        <w:rPr>
          <w:sz w:val="24"/>
          <w:szCs w:val="24"/>
        </w:rPr>
        <w:t>ia</w:t>
      </w:r>
      <w:r w:rsidR="00CE1875">
        <w:rPr>
          <w:sz w:val="24"/>
          <w:szCs w:val="24"/>
        </w:rPr>
        <w:t xml:space="preserve">rire </w:t>
      </w:r>
      <w:r w:rsidR="0021005E">
        <w:rPr>
          <w:sz w:val="24"/>
          <w:szCs w:val="24"/>
        </w:rPr>
        <w:t>la disciplina relativa ai limiti delle risorse destinate al trattamento accessorio del personale, si rappresenta quanto segue.</w:t>
      </w:r>
    </w:p>
    <w:p w:rsidR="002E4861" w:rsidRPr="00132F95" w:rsidRDefault="0021005E" w:rsidP="00132F95">
      <w:pPr>
        <w:overflowPunct/>
        <w:autoSpaceDE/>
        <w:autoSpaceDN/>
        <w:adjustRightInd/>
        <w:spacing w:line="360" w:lineRule="auto"/>
        <w:ind w:firstLine="709"/>
        <w:jc w:val="both"/>
        <w:textAlignment w:val="auto"/>
        <w:rPr>
          <w:sz w:val="24"/>
          <w:szCs w:val="24"/>
        </w:rPr>
      </w:pPr>
      <w:r>
        <w:rPr>
          <w:sz w:val="24"/>
          <w:szCs w:val="24"/>
        </w:rPr>
        <w:t>L</w:t>
      </w:r>
      <w:r w:rsidR="00380CCE">
        <w:rPr>
          <w:sz w:val="24"/>
          <w:szCs w:val="24"/>
        </w:rPr>
        <w:t>’art.</w:t>
      </w:r>
      <w:r w:rsidR="00F37F26">
        <w:rPr>
          <w:sz w:val="24"/>
          <w:szCs w:val="24"/>
        </w:rPr>
        <w:t xml:space="preserve"> </w:t>
      </w:r>
      <w:r w:rsidR="00380CCE">
        <w:rPr>
          <w:sz w:val="24"/>
          <w:szCs w:val="24"/>
        </w:rPr>
        <w:t>23, comma 2, del d.lgs. n. 75/2017</w:t>
      </w:r>
      <w:r w:rsidR="00045FB0" w:rsidRPr="00E57961">
        <w:rPr>
          <w:sz w:val="24"/>
          <w:szCs w:val="24"/>
        </w:rPr>
        <w:t xml:space="preserve"> prevede </w:t>
      </w:r>
      <w:r w:rsidR="00380CCE">
        <w:rPr>
          <w:sz w:val="24"/>
          <w:szCs w:val="24"/>
        </w:rPr>
        <w:t>“</w:t>
      </w:r>
      <w:r w:rsidR="00132F95" w:rsidRPr="00132F95">
        <w:rPr>
          <w:i/>
          <w:sz w:val="24"/>
          <w:szCs w:val="24"/>
        </w:rPr>
        <w:t>Nelle more di quanto previsto dal comma 1, al fine di assicurare la semplificazione amministrativa, la valorizzazione del merito, la qualità dei servizi e garantire adeguati livelli di efficienza ed economicità dell</w:t>
      </w:r>
      <w:r w:rsidR="007F41E3">
        <w:rPr>
          <w:i/>
          <w:sz w:val="24"/>
          <w:szCs w:val="24"/>
        </w:rPr>
        <w:t>’</w:t>
      </w:r>
      <w:r w:rsidR="00132F95" w:rsidRPr="00132F95">
        <w:rPr>
          <w:i/>
          <w:sz w:val="24"/>
          <w:szCs w:val="24"/>
        </w:rPr>
        <w:t>azione amministrativa, assicurando al contempo l</w:t>
      </w:r>
      <w:r w:rsidR="007F41E3">
        <w:rPr>
          <w:i/>
          <w:sz w:val="24"/>
          <w:szCs w:val="24"/>
        </w:rPr>
        <w:t>’</w:t>
      </w:r>
      <w:r w:rsidR="00132F95" w:rsidRPr="00132F95">
        <w:rPr>
          <w:i/>
          <w:sz w:val="24"/>
          <w:szCs w:val="24"/>
        </w:rPr>
        <w:t>invarianza della spesa, a decorrere dal 1°</w:t>
      </w:r>
      <w:r w:rsidR="007F41E3">
        <w:rPr>
          <w:i/>
          <w:sz w:val="24"/>
          <w:szCs w:val="24"/>
        </w:rPr>
        <w:t xml:space="preserve"> </w:t>
      </w:r>
      <w:r w:rsidR="00132F95" w:rsidRPr="00132F95">
        <w:rPr>
          <w:i/>
          <w:sz w:val="24"/>
          <w:szCs w:val="24"/>
        </w:rPr>
        <w:t>gennaio 2017, l</w:t>
      </w:r>
      <w:r w:rsidR="007F41E3">
        <w:rPr>
          <w:i/>
          <w:sz w:val="24"/>
          <w:szCs w:val="24"/>
        </w:rPr>
        <w:t>’</w:t>
      </w:r>
      <w:r w:rsidR="00132F95" w:rsidRPr="00132F95">
        <w:rPr>
          <w:i/>
          <w:sz w:val="24"/>
          <w:szCs w:val="24"/>
        </w:rPr>
        <w:t>ammontare complessivo delle risorse destinate annualmente al trattamento accessorio del personale, anche di livello dirigenziale, di ciascuna delle amministrazioni pubbli</w:t>
      </w:r>
      <w:r w:rsidR="00132F95" w:rsidRPr="007F41E3">
        <w:rPr>
          <w:i/>
          <w:sz w:val="24"/>
          <w:szCs w:val="24"/>
        </w:rPr>
        <w:t>che di cui all</w:t>
      </w:r>
      <w:r w:rsidR="007F41E3" w:rsidRPr="007F41E3">
        <w:rPr>
          <w:i/>
          <w:sz w:val="24"/>
          <w:szCs w:val="24"/>
        </w:rPr>
        <w:t>’</w:t>
      </w:r>
      <w:r w:rsidR="00132F95" w:rsidRPr="007F41E3">
        <w:rPr>
          <w:i/>
          <w:sz w:val="24"/>
          <w:szCs w:val="24"/>
        </w:rPr>
        <w:t xml:space="preserve">articolo </w:t>
      </w:r>
      <w:hyperlink r:id="rId15" w:anchor="id=10LX0000145985ART2,__m=document" w:history="1">
        <w:r w:rsidR="00132F95" w:rsidRPr="007F41E3">
          <w:rPr>
            <w:rStyle w:val="linkneltesto"/>
            <w:i w:val="0"/>
            <w:sz w:val="24"/>
            <w:szCs w:val="24"/>
          </w:rPr>
          <w:t xml:space="preserve">1, </w:t>
        </w:r>
        <w:r w:rsidR="00132F95" w:rsidRPr="007F41E3">
          <w:rPr>
            <w:rStyle w:val="linkneltesto"/>
            <w:sz w:val="24"/>
            <w:szCs w:val="24"/>
          </w:rPr>
          <w:t>comma 2</w:t>
        </w:r>
      </w:hyperlink>
      <w:r w:rsidR="00132F95" w:rsidRPr="007F41E3">
        <w:rPr>
          <w:i/>
          <w:sz w:val="24"/>
          <w:szCs w:val="24"/>
        </w:rPr>
        <w:t xml:space="preserve">, del </w:t>
      </w:r>
      <w:hyperlink r:id="rId16" w:anchor="id=10LX0000145985ART0,__m=document" w:history="1">
        <w:r w:rsidR="00132F95" w:rsidRPr="00132F95">
          <w:rPr>
            <w:rStyle w:val="linkneltesto"/>
            <w:sz w:val="24"/>
            <w:szCs w:val="24"/>
          </w:rPr>
          <w:t>decreto legislativo 30 marzo 2001, n. 165</w:t>
        </w:r>
      </w:hyperlink>
      <w:r w:rsidR="00132F95" w:rsidRPr="00132F95">
        <w:rPr>
          <w:i/>
          <w:sz w:val="24"/>
          <w:szCs w:val="24"/>
        </w:rPr>
        <w:t>, non può superare il corrispondente importo determinato per l</w:t>
      </w:r>
      <w:r w:rsidR="007F41E3">
        <w:rPr>
          <w:i/>
          <w:sz w:val="24"/>
          <w:szCs w:val="24"/>
        </w:rPr>
        <w:t>’</w:t>
      </w:r>
      <w:r w:rsidR="00132F95" w:rsidRPr="00132F95">
        <w:rPr>
          <w:i/>
          <w:sz w:val="24"/>
          <w:szCs w:val="24"/>
        </w:rPr>
        <w:t>anno 2016</w:t>
      </w:r>
      <w:r w:rsidR="00132F95">
        <w:rPr>
          <w:i/>
          <w:sz w:val="24"/>
          <w:szCs w:val="24"/>
        </w:rPr>
        <w:t>…</w:t>
      </w:r>
      <w:r w:rsidR="00132F95">
        <w:rPr>
          <w:sz w:val="24"/>
          <w:szCs w:val="24"/>
        </w:rPr>
        <w:t>”</w:t>
      </w:r>
      <w:r w:rsidR="007F41E3">
        <w:rPr>
          <w:sz w:val="24"/>
          <w:szCs w:val="24"/>
        </w:rPr>
        <w:t>.</w:t>
      </w:r>
    </w:p>
    <w:p w:rsidR="00380CCE" w:rsidRDefault="00132F95" w:rsidP="00132F95">
      <w:pPr>
        <w:shd w:val="clear" w:color="auto" w:fill="FFFFFF"/>
        <w:spacing w:line="360" w:lineRule="auto"/>
        <w:ind w:firstLine="709"/>
        <w:jc w:val="both"/>
        <w:rPr>
          <w:sz w:val="24"/>
          <w:szCs w:val="24"/>
        </w:rPr>
      </w:pPr>
      <w:r>
        <w:rPr>
          <w:sz w:val="24"/>
          <w:szCs w:val="24"/>
        </w:rPr>
        <w:t xml:space="preserve">Tanto premesso, </w:t>
      </w:r>
      <w:r w:rsidR="0021005E">
        <w:rPr>
          <w:sz w:val="24"/>
          <w:szCs w:val="24"/>
        </w:rPr>
        <w:t xml:space="preserve">si </w:t>
      </w:r>
      <w:r>
        <w:rPr>
          <w:sz w:val="24"/>
          <w:szCs w:val="24"/>
        </w:rPr>
        <w:t>forni</w:t>
      </w:r>
      <w:r w:rsidR="0021005E">
        <w:rPr>
          <w:sz w:val="24"/>
          <w:szCs w:val="24"/>
        </w:rPr>
        <w:t>scono</w:t>
      </w:r>
      <w:r>
        <w:rPr>
          <w:sz w:val="24"/>
          <w:szCs w:val="24"/>
        </w:rPr>
        <w:t xml:space="preserve"> le seguenti indicazioni</w:t>
      </w:r>
      <w:r w:rsidR="00AC4EBB">
        <w:rPr>
          <w:sz w:val="24"/>
          <w:szCs w:val="24"/>
        </w:rPr>
        <w:t xml:space="preserve">, anche </w:t>
      </w:r>
      <w:r w:rsidR="0021005E">
        <w:rPr>
          <w:sz w:val="24"/>
          <w:szCs w:val="24"/>
        </w:rPr>
        <w:t>alla luce</w:t>
      </w:r>
      <w:r w:rsidR="00AC4EBB">
        <w:rPr>
          <w:sz w:val="24"/>
          <w:szCs w:val="24"/>
        </w:rPr>
        <w:t xml:space="preserve"> dei criteri interpretativi ed attuativi </w:t>
      </w:r>
      <w:r w:rsidR="007F4560">
        <w:rPr>
          <w:sz w:val="24"/>
          <w:szCs w:val="24"/>
        </w:rPr>
        <w:t>già formulati</w:t>
      </w:r>
      <w:r w:rsidR="00AC4EBB">
        <w:rPr>
          <w:sz w:val="24"/>
          <w:szCs w:val="24"/>
        </w:rPr>
        <w:t xml:space="preserve"> con riferimento alle precedenti</w:t>
      </w:r>
      <w:r w:rsidR="0021005E">
        <w:rPr>
          <w:sz w:val="24"/>
          <w:szCs w:val="24"/>
        </w:rPr>
        <w:t xml:space="preserve"> analoghe</w:t>
      </w:r>
      <w:r w:rsidR="00AC4EBB">
        <w:rPr>
          <w:sz w:val="24"/>
          <w:szCs w:val="24"/>
        </w:rPr>
        <w:t xml:space="preserve"> disposizioni</w:t>
      </w:r>
      <w:r w:rsidR="0021005E">
        <w:rPr>
          <w:sz w:val="24"/>
          <w:szCs w:val="24"/>
        </w:rPr>
        <w:t xml:space="preserve"> di contenimento della spesa,</w:t>
      </w:r>
      <w:r>
        <w:rPr>
          <w:sz w:val="24"/>
          <w:szCs w:val="24"/>
        </w:rPr>
        <w:t xml:space="preserve"> </w:t>
      </w:r>
      <w:r w:rsidR="007F4560">
        <w:rPr>
          <w:sz w:val="24"/>
          <w:szCs w:val="24"/>
        </w:rPr>
        <w:t xml:space="preserve">nonché di quelli conseguenti agli apporti giurisprudenziali intervenuti sulla materia in esame, </w:t>
      </w:r>
      <w:r>
        <w:rPr>
          <w:sz w:val="24"/>
          <w:szCs w:val="24"/>
        </w:rPr>
        <w:t>in ordine alle tipol</w:t>
      </w:r>
      <w:r w:rsidR="00614B8F">
        <w:rPr>
          <w:sz w:val="24"/>
          <w:szCs w:val="24"/>
        </w:rPr>
        <w:t>o</w:t>
      </w:r>
      <w:r>
        <w:rPr>
          <w:sz w:val="24"/>
          <w:szCs w:val="24"/>
        </w:rPr>
        <w:t xml:space="preserve">gie </w:t>
      </w:r>
      <w:r w:rsidR="00614B8F">
        <w:rPr>
          <w:sz w:val="24"/>
          <w:szCs w:val="24"/>
        </w:rPr>
        <w:t>di</w:t>
      </w:r>
      <w:r w:rsidR="00614B8F" w:rsidRPr="00614B8F">
        <w:rPr>
          <w:sz w:val="24"/>
          <w:szCs w:val="24"/>
        </w:rPr>
        <w:t xml:space="preserve"> </w:t>
      </w:r>
      <w:r w:rsidR="00614B8F" w:rsidRPr="00E57961">
        <w:rPr>
          <w:sz w:val="24"/>
          <w:szCs w:val="24"/>
        </w:rPr>
        <w:t>risorse finanziarie che</w:t>
      </w:r>
      <w:r w:rsidR="00F0387E">
        <w:rPr>
          <w:sz w:val="24"/>
          <w:szCs w:val="24"/>
        </w:rPr>
        <w:t xml:space="preserve"> </w:t>
      </w:r>
      <w:r w:rsidR="00F0387E" w:rsidRPr="006D2281">
        <w:rPr>
          <w:sz w:val="24"/>
          <w:szCs w:val="24"/>
        </w:rPr>
        <w:t xml:space="preserve">si ritiene </w:t>
      </w:r>
      <w:r w:rsidR="00614B8F" w:rsidRPr="006D2281">
        <w:rPr>
          <w:sz w:val="24"/>
          <w:szCs w:val="24"/>
        </w:rPr>
        <w:t>poss</w:t>
      </w:r>
      <w:r w:rsidR="00F0387E" w:rsidRPr="006D2281">
        <w:rPr>
          <w:sz w:val="24"/>
          <w:szCs w:val="24"/>
        </w:rPr>
        <w:t>a</w:t>
      </w:r>
      <w:r w:rsidR="00614B8F" w:rsidRPr="006D2281">
        <w:rPr>
          <w:sz w:val="24"/>
          <w:szCs w:val="24"/>
        </w:rPr>
        <w:t>no</w:t>
      </w:r>
      <w:r w:rsidR="00614B8F" w:rsidRPr="00E57961">
        <w:rPr>
          <w:sz w:val="24"/>
          <w:szCs w:val="24"/>
        </w:rPr>
        <w:t xml:space="preserve"> essere appostate nei fondi per il trattamento accessorio del personale, anche dirigenziale, in deroga al limite previsto dall</w:t>
      </w:r>
      <w:r w:rsidR="007F41E3">
        <w:rPr>
          <w:sz w:val="24"/>
          <w:szCs w:val="24"/>
        </w:rPr>
        <w:t>’</w:t>
      </w:r>
      <w:r w:rsidR="00614B8F" w:rsidRPr="00E57961">
        <w:rPr>
          <w:sz w:val="24"/>
          <w:szCs w:val="24"/>
        </w:rPr>
        <w:t>art. 23, comma 2, del d.lgs. n. 75/2017</w:t>
      </w:r>
      <w:r w:rsidR="00380CCE">
        <w:rPr>
          <w:sz w:val="24"/>
          <w:szCs w:val="24"/>
        </w:rPr>
        <w:t>.</w:t>
      </w:r>
    </w:p>
    <w:p w:rsidR="007F41E3" w:rsidRDefault="0021005E" w:rsidP="00132F95">
      <w:pPr>
        <w:shd w:val="clear" w:color="auto" w:fill="FFFFFF"/>
        <w:spacing w:line="360" w:lineRule="auto"/>
        <w:ind w:firstLine="709"/>
        <w:jc w:val="both"/>
        <w:rPr>
          <w:color w:val="FF0000"/>
          <w:sz w:val="24"/>
          <w:szCs w:val="24"/>
        </w:rPr>
      </w:pPr>
      <w:r w:rsidRPr="0021005E">
        <w:rPr>
          <w:sz w:val="24"/>
          <w:szCs w:val="24"/>
        </w:rPr>
        <w:t>Preliminarmente</w:t>
      </w:r>
      <w:r w:rsidR="00380CCE" w:rsidRPr="0021005E">
        <w:rPr>
          <w:sz w:val="24"/>
          <w:szCs w:val="24"/>
        </w:rPr>
        <w:t>, si ricorda che la</w:t>
      </w:r>
      <w:r w:rsidR="00B817D8" w:rsidRPr="0021005E">
        <w:rPr>
          <w:sz w:val="24"/>
          <w:szCs w:val="24"/>
        </w:rPr>
        <w:t xml:space="preserve"> relazione tecnica </w:t>
      </w:r>
      <w:r w:rsidR="00380CCE" w:rsidRPr="0021005E">
        <w:rPr>
          <w:sz w:val="24"/>
          <w:szCs w:val="24"/>
        </w:rPr>
        <w:t xml:space="preserve">relativa all’art. 23, comma 2, del d.lgs. n. 75/2017 </w:t>
      </w:r>
      <w:r w:rsidR="00B817D8" w:rsidRPr="0021005E">
        <w:rPr>
          <w:sz w:val="24"/>
          <w:szCs w:val="24"/>
        </w:rPr>
        <w:t>indica esplicitamente che restano escluse dal predetto limite le risorse non utilizzate derivanti dal fondo dell’anno precedente, anche riferite ai compensi di lavoro straordinario, ove previste in sede di CCNL, i compensi professionali legali in relazione a sentenze favorevoli all’amministrazione con vittoria di spese, le risorse conto terzi</w:t>
      </w:r>
      <w:r w:rsidR="007D44AB" w:rsidRPr="0021005E">
        <w:rPr>
          <w:sz w:val="24"/>
          <w:szCs w:val="24"/>
        </w:rPr>
        <w:t xml:space="preserve"> </w:t>
      </w:r>
      <w:r w:rsidR="00B817D8" w:rsidRPr="0021005E">
        <w:rPr>
          <w:sz w:val="24"/>
          <w:szCs w:val="24"/>
        </w:rPr>
        <w:t xml:space="preserve">individuale e </w:t>
      </w:r>
      <w:r w:rsidR="00B817D8" w:rsidRPr="0021005E">
        <w:rPr>
          <w:sz w:val="24"/>
          <w:szCs w:val="24"/>
        </w:rPr>
        <w:lastRenderedPageBreak/>
        <w:t>conto terzi collettivo, in particolare</w:t>
      </w:r>
      <w:r w:rsidR="007D44AB" w:rsidRPr="0021005E">
        <w:rPr>
          <w:sz w:val="24"/>
          <w:szCs w:val="24"/>
        </w:rPr>
        <w:t xml:space="preserve"> in relazione ai fondi dell’</w:t>
      </w:r>
      <w:r w:rsidR="00B817D8" w:rsidRPr="0021005E">
        <w:rPr>
          <w:sz w:val="24"/>
          <w:szCs w:val="24"/>
        </w:rPr>
        <w:t>Unione europea</w:t>
      </w:r>
      <w:r w:rsidR="00F0387E">
        <w:rPr>
          <w:sz w:val="24"/>
          <w:szCs w:val="24"/>
        </w:rPr>
        <w:t xml:space="preserve"> </w:t>
      </w:r>
      <w:r w:rsidR="00F0387E" w:rsidRPr="006D2281">
        <w:rPr>
          <w:sz w:val="24"/>
          <w:szCs w:val="24"/>
        </w:rPr>
        <w:t>e</w:t>
      </w:r>
      <w:r w:rsidR="007D44AB" w:rsidRPr="0021005E">
        <w:rPr>
          <w:sz w:val="24"/>
          <w:szCs w:val="24"/>
        </w:rPr>
        <w:t xml:space="preserve"> le economie aggiuntive effettivamente realizzate ai sensi dell’art. 16, commi 4 e 5, del decreto legge n. 98/2011.</w:t>
      </w:r>
    </w:p>
    <w:p w:rsidR="001C2F6D" w:rsidRDefault="00380CCE" w:rsidP="00132F95">
      <w:pPr>
        <w:shd w:val="clear" w:color="auto" w:fill="FFFFFF"/>
        <w:spacing w:line="360" w:lineRule="auto"/>
        <w:ind w:firstLine="709"/>
        <w:jc w:val="both"/>
        <w:rPr>
          <w:sz w:val="24"/>
          <w:szCs w:val="24"/>
        </w:rPr>
      </w:pPr>
      <w:r w:rsidRPr="0021005E">
        <w:rPr>
          <w:sz w:val="24"/>
          <w:szCs w:val="24"/>
        </w:rPr>
        <w:t>Ciò posto</w:t>
      </w:r>
      <w:r w:rsidR="007D44AB" w:rsidRPr="0021005E">
        <w:rPr>
          <w:sz w:val="24"/>
          <w:szCs w:val="24"/>
        </w:rPr>
        <w:t>, si ri</w:t>
      </w:r>
      <w:r w:rsidR="0055448D">
        <w:rPr>
          <w:sz w:val="24"/>
          <w:szCs w:val="24"/>
        </w:rPr>
        <w:t xml:space="preserve">assumono </w:t>
      </w:r>
      <w:r w:rsidR="0021005E" w:rsidRPr="0021005E">
        <w:rPr>
          <w:sz w:val="24"/>
          <w:szCs w:val="24"/>
        </w:rPr>
        <w:t>di seguito</w:t>
      </w:r>
      <w:r w:rsidR="00F7052E" w:rsidRPr="0021005E">
        <w:rPr>
          <w:sz w:val="24"/>
          <w:szCs w:val="24"/>
        </w:rPr>
        <w:t xml:space="preserve"> le tipologie di risorse finanziarie </w:t>
      </w:r>
      <w:r w:rsidR="0021005E" w:rsidRPr="0021005E">
        <w:rPr>
          <w:sz w:val="24"/>
          <w:szCs w:val="24"/>
        </w:rPr>
        <w:t>che si ritiene poss</w:t>
      </w:r>
      <w:r w:rsidR="0055448D">
        <w:rPr>
          <w:sz w:val="24"/>
          <w:szCs w:val="24"/>
        </w:rPr>
        <w:t>a</w:t>
      </w:r>
      <w:r w:rsidR="0021005E" w:rsidRPr="0021005E">
        <w:rPr>
          <w:sz w:val="24"/>
          <w:szCs w:val="24"/>
        </w:rPr>
        <w:t xml:space="preserve">no essere </w:t>
      </w:r>
      <w:r w:rsidR="00F7052E" w:rsidRPr="0021005E">
        <w:rPr>
          <w:sz w:val="24"/>
          <w:szCs w:val="24"/>
        </w:rPr>
        <w:t xml:space="preserve">escluse dalle predette limitazioni, </w:t>
      </w:r>
      <w:r w:rsidR="0021005E" w:rsidRPr="0021005E">
        <w:rPr>
          <w:sz w:val="24"/>
          <w:szCs w:val="24"/>
        </w:rPr>
        <w:t xml:space="preserve">con riferimento al comparto </w:t>
      </w:r>
      <w:r w:rsidR="00A24FCE">
        <w:rPr>
          <w:sz w:val="24"/>
          <w:szCs w:val="24"/>
        </w:rPr>
        <w:t>R</w:t>
      </w:r>
      <w:r w:rsidR="0021005E" w:rsidRPr="0021005E">
        <w:rPr>
          <w:sz w:val="24"/>
          <w:szCs w:val="24"/>
        </w:rPr>
        <w:t xml:space="preserve">egioni ed autonomie locali, ed </w:t>
      </w:r>
      <w:r w:rsidR="00F7052E" w:rsidRPr="0021005E">
        <w:rPr>
          <w:sz w:val="24"/>
          <w:szCs w:val="24"/>
        </w:rPr>
        <w:t>i correlati riferimenti interpretativi formulati da questo dicastero e dalla magistratura contabile.</w:t>
      </w:r>
    </w:p>
    <w:p w:rsidR="00614B8F" w:rsidRDefault="00C92BE2" w:rsidP="00614B8F">
      <w:pPr>
        <w:pStyle w:val="Paragrafoelenco"/>
        <w:numPr>
          <w:ilvl w:val="0"/>
          <w:numId w:val="21"/>
        </w:numPr>
        <w:overflowPunct/>
        <w:autoSpaceDE/>
        <w:autoSpaceDN/>
        <w:adjustRightInd/>
        <w:spacing w:line="360" w:lineRule="auto"/>
        <w:jc w:val="both"/>
        <w:textAlignment w:val="auto"/>
        <w:rPr>
          <w:sz w:val="24"/>
          <w:szCs w:val="24"/>
        </w:rPr>
      </w:pPr>
      <w:r w:rsidRPr="006D2281">
        <w:rPr>
          <w:b/>
          <w:sz w:val="24"/>
          <w:szCs w:val="24"/>
        </w:rPr>
        <w:t>r</w:t>
      </w:r>
      <w:r w:rsidR="00614B8F" w:rsidRPr="0068016C">
        <w:rPr>
          <w:b/>
          <w:sz w:val="24"/>
          <w:szCs w:val="24"/>
        </w:rPr>
        <w:t>i</w:t>
      </w:r>
      <w:r w:rsidR="00614B8F" w:rsidRPr="00A732EB">
        <w:rPr>
          <w:b/>
          <w:sz w:val="24"/>
          <w:szCs w:val="24"/>
        </w:rPr>
        <w:t>sorse non utilizzate derivanti dal fondo dell</w:t>
      </w:r>
      <w:r w:rsidR="007F41E3">
        <w:rPr>
          <w:b/>
          <w:sz w:val="24"/>
          <w:szCs w:val="24"/>
        </w:rPr>
        <w:t>’</w:t>
      </w:r>
      <w:r w:rsidR="00614B8F" w:rsidRPr="00A732EB">
        <w:rPr>
          <w:b/>
          <w:sz w:val="24"/>
          <w:szCs w:val="24"/>
        </w:rPr>
        <w:t>anno precedente</w:t>
      </w:r>
      <w:r w:rsidR="00614B8F">
        <w:rPr>
          <w:sz w:val="24"/>
          <w:szCs w:val="24"/>
        </w:rPr>
        <w:t xml:space="preserve">, come indicato nelle relazioni illustrativa e tecnica al d.lgs. n. </w:t>
      </w:r>
      <w:r w:rsidR="00A732EB">
        <w:rPr>
          <w:sz w:val="24"/>
          <w:szCs w:val="24"/>
        </w:rPr>
        <w:t>75</w:t>
      </w:r>
      <w:r w:rsidR="00614B8F">
        <w:rPr>
          <w:sz w:val="24"/>
          <w:szCs w:val="24"/>
        </w:rPr>
        <w:t>/2017;</w:t>
      </w:r>
    </w:p>
    <w:p w:rsidR="00614B8F" w:rsidRDefault="00614B8F" w:rsidP="00614B8F">
      <w:pPr>
        <w:pStyle w:val="Paragrafoelenco"/>
        <w:numPr>
          <w:ilvl w:val="0"/>
          <w:numId w:val="21"/>
        </w:numPr>
        <w:overflowPunct/>
        <w:autoSpaceDE/>
        <w:autoSpaceDN/>
        <w:adjustRightInd/>
        <w:spacing w:line="360" w:lineRule="auto"/>
        <w:jc w:val="both"/>
        <w:textAlignment w:val="auto"/>
        <w:rPr>
          <w:sz w:val="24"/>
          <w:szCs w:val="24"/>
        </w:rPr>
      </w:pPr>
      <w:r w:rsidRPr="00A732EB">
        <w:rPr>
          <w:b/>
          <w:sz w:val="24"/>
          <w:szCs w:val="24"/>
        </w:rPr>
        <w:t>economie riferite alle prestazioni di lavoro straordinario dell</w:t>
      </w:r>
      <w:r w:rsidR="007F41E3">
        <w:rPr>
          <w:b/>
          <w:sz w:val="24"/>
          <w:szCs w:val="24"/>
        </w:rPr>
        <w:t>’</w:t>
      </w:r>
      <w:r w:rsidRPr="00A732EB">
        <w:rPr>
          <w:b/>
          <w:sz w:val="24"/>
          <w:szCs w:val="24"/>
        </w:rPr>
        <w:t>anno precedente</w:t>
      </w:r>
      <w:r>
        <w:rPr>
          <w:sz w:val="24"/>
          <w:szCs w:val="24"/>
        </w:rPr>
        <w:t xml:space="preserve"> se previste dal rispettivo CCNL, come indicato nelle relazioni illustrativa</w:t>
      </w:r>
      <w:r w:rsidR="001E4BB7">
        <w:rPr>
          <w:sz w:val="24"/>
          <w:szCs w:val="24"/>
        </w:rPr>
        <w:t xml:space="preserve"> e tecnica al d.lgs. n. </w:t>
      </w:r>
      <w:r w:rsidR="00380CCE">
        <w:rPr>
          <w:sz w:val="24"/>
          <w:szCs w:val="24"/>
        </w:rPr>
        <w:t>75/2017</w:t>
      </w:r>
      <w:r>
        <w:rPr>
          <w:sz w:val="24"/>
          <w:szCs w:val="24"/>
        </w:rPr>
        <w:t>;</w:t>
      </w:r>
    </w:p>
    <w:p w:rsidR="006F03E2" w:rsidRDefault="00A732EB" w:rsidP="00614B8F">
      <w:pPr>
        <w:pStyle w:val="Paragrafoelenco"/>
        <w:numPr>
          <w:ilvl w:val="0"/>
          <w:numId w:val="21"/>
        </w:numPr>
        <w:overflowPunct/>
        <w:autoSpaceDE/>
        <w:autoSpaceDN/>
        <w:adjustRightInd/>
        <w:spacing w:line="360" w:lineRule="auto"/>
        <w:jc w:val="both"/>
        <w:textAlignment w:val="auto"/>
        <w:rPr>
          <w:sz w:val="24"/>
          <w:szCs w:val="24"/>
        </w:rPr>
      </w:pPr>
      <w:r>
        <w:rPr>
          <w:b/>
          <w:sz w:val="24"/>
          <w:szCs w:val="24"/>
        </w:rPr>
        <w:t>i</w:t>
      </w:r>
      <w:r w:rsidR="00614B8F" w:rsidRPr="00A732EB">
        <w:rPr>
          <w:b/>
          <w:sz w:val="24"/>
          <w:szCs w:val="24"/>
        </w:rPr>
        <w:t>ncentivi per funzioni tecniche</w:t>
      </w:r>
      <w:r w:rsidR="00614B8F">
        <w:rPr>
          <w:sz w:val="24"/>
          <w:szCs w:val="24"/>
        </w:rPr>
        <w:t xml:space="preserve"> di cui all</w:t>
      </w:r>
      <w:r w:rsidR="007F41E3">
        <w:rPr>
          <w:sz w:val="24"/>
          <w:szCs w:val="24"/>
        </w:rPr>
        <w:t>’</w:t>
      </w:r>
      <w:r w:rsidR="00614B8F">
        <w:rPr>
          <w:sz w:val="24"/>
          <w:szCs w:val="24"/>
        </w:rPr>
        <w:t xml:space="preserve">art. 113 del d.lgs. n. 50/2016, come </w:t>
      </w:r>
      <w:r w:rsidR="0021005E">
        <w:rPr>
          <w:sz w:val="24"/>
          <w:szCs w:val="24"/>
        </w:rPr>
        <w:t>indicato</w:t>
      </w:r>
      <w:r w:rsidR="00614B8F">
        <w:rPr>
          <w:sz w:val="24"/>
          <w:szCs w:val="24"/>
        </w:rPr>
        <w:t xml:space="preserve"> </w:t>
      </w:r>
      <w:r w:rsidR="0021005E">
        <w:rPr>
          <w:sz w:val="24"/>
          <w:szCs w:val="24"/>
        </w:rPr>
        <w:t xml:space="preserve">anche </w:t>
      </w:r>
      <w:r w:rsidR="00614B8F">
        <w:rPr>
          <w:sz w:val="24"/>
          <w:szCs w:val="24"/>
        </w:rPr>
        <w:t>dalla Corte dei Conti –</w:t>
      </w:r>
      <w:r w:rsidR="007F41E3">
        <w:rPr>
          <w:sz w:val="24"/>
          <w:szCs w:val="24"/>
        </w:rPr>
        <w:t xml:space="preserve"> </w:t>
      </w:r>
      <w:r w:rsidR="00614B8F">
        <w:rPr>
          <w:sz w:val="24"/>
          <w:szCs w:val="24"/>
        </w:rPr>
        <w:t>Sezione delle autonomie con deliberazione n. 6/2018;</w:t>
      </w:r>
    </w:p>
    <w:p w:rsidR="00A732EB" w:rsidRDefault="00614B8F" w:rsidP="00614B8F">
      <w:pPr>
        <w:pStyle w:val="Paragrafoelenco"/>
        <w:numPr>
          <w:ilvl w:val="0"/>
          <w:numId w:val="21"/>
        </w:numPr>
        <w:overflowPunct/>
        <w:autoSpaceDE/>
        <w:autoSpaceDN/>
        <w:adjustRightInd/>
        <w:spacing w:line="360" w:lineRule="auto"/>
        <w:jc w:val="both"/>
        <w:textAlignment w:val="auto"/>
        <w:rPr>
          <w:sz w:val="24"/>
          <w:szCs w:val="24"/>
        </w:rPr>
      </w:pPr>
      <w:r w:rsidRPr="00A732EB">
        <w:rPr>
          <w:b/>
          <w:sz w:val="24"/>
          <w:szCs w:val="24"/>
        </w:rPr>
        <w:t>compensi professionali legali</w:t>
      </w:r>
      <w:r>
        <w:rPr>
          <w:sz w:val="24"/>
          <w:szCs w:val="24"/>
        </w:rPr>
        <w:t xml:space="preserve"> </w:t>
      </w:r>
      <w:r w:rsidRPr="00A24FCE">
        <w:rPr>
          <w:sz w:val="24"/>
          <w:szCs w:val="24"/>
        </w:rPr>
        <w:t>in relazione a sentenze favorevoli all</w:t>
      </w:r>
      <w:r w:rsidR="007F41E3" w:rsidRPr="00A24FCE">
        <w:rPr>
          <w:sz w:val="24"/>
          <w:szCs w:val="24"/>
        </w:rPr>
        <w:t>’</w:t>
      </w:r>
      <w:r w:rsidRPr="00A24FCE">
        <w:rPr>
          <w:sz w:val="24"/>
          <w:szCs w:val="24"/>
        </w:rPr>
        <w:t>amministrazione</w:t>
      </w:r>
      <w:r w:rsidR="00A732EB">
        <w:rPr>
          <w:sz w:val="24"/>
          <w:szCs w:val="24"/>
        </w:rPr>
        <w:t xml:space="preserve"> e derivanti da condanna alle spese della controparte,</w:t>
      </w:r>
      <w:r w:rsidR="00C82030">
        <w:rPr>
          <w:sz w:val="24"/>
          <w:szCs w:val="24"/>
        </w:rPr>
        <w:t xml:space="preserve"> di cui all</w:t>
      </w:r>
      <w:r w:rsidR="007F41E3">
        <w:rPr>
          <w:sz w:val="24"/>
          <w:szCs w:val="24"/>
        </w:rPr>
        <w:t>’</w:t>
      </w:r>
      <w:r w:rsidR="00C82030">
        <w:rPr>
          <w:sz w:val="24"/>
          <w:szCs w:val="24"/>
        </w:rPr>
        <w:t>art. 9, del decreto legge n. 90/2014,</w:t>
      </w:r>
      <w:r w:rsidR="00A732EB">
        <w:rPr>
          <w:sz w:val="24"/>
          <w:szCs w:val="24"/>
        </w:rPr>
        <w:t xml:space="preserve"> come </w:t>
      </w:r>
      <w:r w:rsidR="0068016C">
        <w:rPr>
          <w:sz w:val="24"/>
          <w:szCs w:val="24"/>
        </w:rPr>
        <w:t>indicato</w:t>
      </w:r>
      <w:r w:rsidR="00A732EB">
        <w:rPr>
          <w:sz w:val="24"/>
          <w:szCs w:val="24"/>
        </w:rPr>
        <w:t xml:space="preserve"> </w:t>
      </w:r>
      <w:r w:rsidR="0021005E">
        <w:rPr>
          <w:sz w:val="24"/>
          <w:szCs w:val="24"/>
        </w:rPr>
        <w:t xml:space="preserve">anche </w:t>
      </w:r>
      <w:r w:rsidR="00A732EB">
        <w:rPr>
          <w:sz w:val="24"/>
          <w:szCs w:val="24"/>
        </w:rPr>
        <w:t>d</w:t>
      </w:r>
      <w:r w:rsidR="0021239C">
        <w:rPr>
          <w:sz w:val="24"/>
          <w:szCs w:val="24"/>
        </w:rPr>
        <w:t>a</w:t>
      </w:r>
      <w:r w:rsidR="00A732EB">
        <w:rPr>
          <w:sz w:val="24"/>
          <w:szCs w:val="24"/>
        </w:rPr>
        <w:t>lla Corte dei Conti – Sezioni riunite in sede di controllo con deliberazione n. 51/2011, e nelle relazioni illustrativa e tecnica al d.lgs. n. 75/2017;</w:t>
      </w:r>
    </w:p>
    <w:p w:rsidR="00A732EB" w:rsidRPr="0021005E" w:rsidRDefault="00A732EB" w:rsidP="00EA2DF5">
      <w:pPr>
        <w:pStyle w:val="Paragrafoelenco"/>
        <w:numPr>
          <w:ilvl w:val="0"/>
          <w:numId w:val="21"/>
        </w:numPr>
        <w:overflowPunct/>
        <w:autoSpaceDE/>
        <w:autoSpaceDN/>
        <w:adjustRightInd/>
        <w:spacing w:line="360" w:lineRule="auto"/>
        <w:jc w:val="both"/>
        <w:textAlignment w:val="auto"/>
        <w:rPr>
          <w:sz w:val="24"/>
          <w:szCs w:val="24"/>
        </w:rPr>
      </w:pPr>
      <w:r w:rsidRPr="0021005E">
        <w:rPr>
          <w:b/>
          <w:sz w:val="24"/>
          <w:szCs w:val="24"/>
        </w:rPr>
        <w:t>compensi ISTAT</w:t>
      </w:r>
      <w:r w:rsidRPr="0021005E">
        <w:rPr>
          <w:sz w:val="24"/>
          <w:szCs w:val="24"/>
        </w:rPr>
        <w:t xml:space="preserve"> come </w:t>
      </w:r>
      <w:r w:rsidR="0068016C" w:rsidRPr="0021005E">
        <w:rPr>
          <w:sz w:val="24"/>
          <w:szCs w:val="24"/>
        </w:rPr>
        <w:t>indicato</w:t>
      </w:r>
      <w:r w:rsidRPr="0021005E">
        <w:rPr>
          <w:sz w:val="24"/>
          <w:szCs w:val="24"/>
        </w:rPr>
        <w:t xml:space="preserve"> </w:t>
      </w:r>
      <w:r w:rsidR="0021005E" w:rsidRPr="0021005E">
        <w:rPr>
          <w:sz w:val="24"/>
          <w:szCs w:val="24"/>
        </w:rPr>
        <w:t xml:space="preserve">dalla circolare MEF-RGS n. 16/2012, nelle relazioni illustrativa e tecnica al d.lgs. n. 75/2017, </w:t>
      </w:r>
      <w:r w:rsidR="0021005E">
        <w:rPr>
          <w:sz w:val="24"/>
          <w:szCs w:val="24"/>
        </w:rPr>
        <w:t xml:space="preserve">ed anche </w:t>
      </w:r>
      <w:r w:rsidRPr="0021005E">
        <w:rPr>
          <w:sz w:val="24"/>
          <w:szCs w:val="24"/>
        </w:rPr>
        <w:t>d</w:t>
      </w:r>
      <w:r w:rsidR="0021239C" w:rsidRPr="0021005E">
        <w:rPr>
          <w:sz w:val="24"/>
          <w:szCs w:val="24"/>
        </w:rPr>
        <w:t>a</w:t>
      </w:r>
      <w:r w:rsidRPr="0021005E">
        <w:rPr>
          <w:sz w:val="24"/>
          <w:szCs w:val="24"/>
        </w:rPr>
        <w:t>lla Corte dei Conti – Sezione delle autonom</w:t>
      </w:r>
      <w:r w:rsidR="0021005E">
        <w:rPr>
          <w:sz w:val="24"/>
          <w:szCs w:val="24"/>
        </w:rPr>
        <w:t>ie con deliberazione n. 13/2015;</w:t>
      </w:r>
      <w:r w:rsidRPr="0021005E">
        <w:rPr>
          <w:sz w:val="24"/>
          <w:szCs w:val="24"/>
        </w:rPr>
        <w:t xml:space="preserve"> </w:t>
      </w:r>
    </w:p>
    <w:p w:rsidR="00BF31B0" w:rsidRPr="00483D06" w:rsidRDefault="00A732EB" w:rsidP="009B0EC5">
      <w:pPr>
        <w:pStyle w:val="Paragrafoelenco"/>
        <w:numPr>
          <w:ilvl w:val="0"/>
          <w:numId w:val="21"/>
        </w:numPr>
        <w:overflowPunct/>
        <w:autoSpaceDE/>
        <w:autoSpaceDN/>
        <w:adjustRightInd/>
        <w:spacing w:line="360" w:lineRule="auto"/>
        <w:jc w:val="both"/>
        <w:textAlignment w:val="auto"/>
        <w:rPr>
          <w:sz w:val="24"/>
          <w:szCs w:val="24"/>
        </w:rPr>
      </w:pPr>
      <w:r w:rsidRPr="008B0A9C">
        <w:rPr>
          <w:b/>
          <w:sz w:val="24"/>
          <w:szCs w:val="24"/>
        </w:rPr>
        <w:t>sponsor</w:t>
      </w:r>
      <w:r w:rsidR="00AB1FC9" w:rsidRPr="008B0A9C">
        <w:rPr>
          <w:b/>
          <w:sz w:val="24"/>
          <w:szCs w:val="24"/>
        </w:rPr>
        <w:t>i</w:t>
      </w:r>
      <w:r w:rsidRPr="008B0A9C">
        <w:rPr>
          <w:b/>
          <w:sz w:val="24"/>
          <w:szCs w:val="24"/>
        </w:rPr>
        <w:t>z</w:t>
      </w:r>
      <w:r w:rsidR="00AB1FC9" w:rsidRPr="008B0A9C">
        <w:rPr>
          <w:b/>
          <w:sz w:val="24"/>
          <w:szCs w:val="24"/>
        </w:rPr>
        <w:t>z</w:t>
      </w:r>
      <w:r w:rsidRPr="008B0A9C">
        <w:rPr>
          <w:b/>
          <w:sz w:val="24"/>
          <w:szCs w:val="24"/>
        </w:rPr>
        <w:t>azion</w:t>
      </w:r>
      <w:r w:rsidR="00BF31B0" w:rsidRPr="008B0A9C">
        <w:rPr>
          <w:b/>
          <w:sz w:val="24"/>
          <w:szCs w:val="24"/>
        </w:rPr>
        <w:t>i</w:t>
      </w:r>
      <w:r w:rsidR="00433F26" w:rsidRPr="008B0A9C">
        <w:rPr>
          <w:b/>
          <w:sz w:val="24"/>
          <w:szCs w:val="24"/>
        </w:rPr>
        <w:t>,</w:t>
      </w:r>
      <w:r w:rsidRPr="008B0A9C">
        <w:rPr>
          <w:b/>
          <w:sz w:val="24"/>
          <w:szCs w:val="24"/>
        </w:rPr>
        <w:t xml:space="preserve"> accordi di collaborazione </w:t>
      </w:r>
      <w:r w:rsidR="00433F26" w:rsidRPr="008B0A9C">
        <w:rPr>
          <w:b/>
          <w:sz w:val="24"/>
          <w:szCs w:val="24"/>
        </w:rPr>
        <w:t xml:space="preserve">e conto terzi </w:t>
      </w:r>
      <w:r w:rsidR="00AB1FC9" w:rsidRPr="008B0A9C">
        <w:rPr>
          <w:sz w:val="24"/>
          <w:szCs w:val="24"/>
        </w:rPr>
        <w:t>di cui all</w:t>
      </w:r>
      <w:r w:rsidR="007F41E3" w:rsidRPr="008B0A9C">
        <w:rPr>
          <w:sz w:val="24"/>
          <w:szCs w:val="24"/>
        </w:rPr>
        <w:t>’</w:t>
      </w:r>
      <w:r w:rsidR="00AB1FC9" w:rsidRPr="008B0A9C">
        <w:rPr>
          <w:sz w:val="24"/>
          <w:szCs w:val="24"/>
        </w:rPr>
        <w:t xml:space="preserve">art. 43 della legge n. 449/1997, </w:t>
      </w:r>
      <w:r w:rsidRPr="008B0A9C">
        <w:rPr>
          <w:sz w:val="24"/>
          <w:szCs w:val="24"/>
        </w:rPr>
        <w:t xml:space="preserve">come </w:t>
      </w:r>
      <w:r w:rsidR="0068016C" w:rsidRPr="008B0A9C">
        <w:rPr>
          <w:sz w:val="24"/>
          <w:szCs w:val="24"/>
        </w:rPr>
        <w:t>indicato dall</w:t>
      </w:r>
      <w:r w:rsidR="001D7401" w:rsidRPr="008B0A9C">
        <w:rPr>
          <w:sz w:val="24"/>
          <w:szCs w:val="24"/>
        </w:rPr>
        <w:t>e</w:t>
      </w:r>
      <w:r w:rsidR="0068016C" w:rsidRPr="008B0A9C">
        <w:rPr>
          <w:sz w:val="24"/>
          <w:szCs w:val="24"/>
        </w:rPr>
        <w:t xml:space="preserve"> circolari MEF-RGS n. 11/2011 e n. 16/2012, nelle relazioni illustrativa e tecnica al d.lgs. n. 75/2017, e </w:t>
      </w:r>
      <w:r w:rsidR="0021005E">
        <w:rPr>
          <w:sz w:val="24"/>
          <w:szCs w:val="24"/>
        </w:rPr>
        <w:t xml:space="preserve">anche </w:t>
      </w:r>
      <w:r w:rsidRPr="008B0A9C">
        <w:rPr>
          <w:sz w:val="24"/>
          <w:szCs w:val="24"/>
        </w:rPr>
        <w:t>d</w:t>
      </w:r>
      <w:r w:rsidR="0021239C" w:rsidRPr="008B0A9C">
        <w:rPr>
          <w:sz w:val="24"/>
          <w:szCs w:val="24"/>
        </w:rPr>
        <w:t>a</w:t>
      </w:r>
      <w:r w:rsidRPr="008B0A9C">
        <w:rPr>
          <w:sz w:val="24"/>
          <w:szCs w:val="24"/>
        </w:rPr>
        <w:t xml:space="preserve">lla Corte dei Conti – </w:t>
      </w:r>
      <w:r w:rsidR="00AD2FDF" w:rsidRPr="008B0A9C">
        <w:rPr>
          <w:sz w:val="24"/>
          <w:szCs w:val="24"/>
        </w:rPr>
        <w:t xml:space="preserve">Sezioni Riunite </w:t>
      </w:r>
      <w:r w:rsidR="00C82030" w:rsidRPr="008B0A9C">
        <w:rPr>
          <w:sz w:val="24"/>
          <w:szCs w:val="24"/>
        </w:rPr>
        <w:t>con deliberazion</w:t>
      </w:r>
      <w:r w:rsidR="00AD2FDF" w:rsidRPr="008B0A9C">
        <w:rPr>
          <w:sz w:val="24"/>
          <w:szCs w:val="24"/>
        </w:rPr>
        <w:t>e</w:t>
      </w:r>
      <w:r w:rsidR="00C82030" w:rsidRPr="008B0A9C">
        <w:rPr>
          <w:sz w:val="24"/>
          <w:szCs w:val="24"/>
        </w:rPr>
        <w:t xml:space="preserve"> n. 7/2011</w:t>
      </w:r>
      <w:r w:rsidR="00FA1073" w:rsidRPr="008B0A9C">
        <w:rPr>
          <w:sz w:val="24"/>
          <w:szCs w:val="24"/>
        </w:rPr>
        <w:t>;</w:t>
      </w:r>
      <w:r w:rsidR="00C82030" w:rsidRPr="008B0A9C">
        <w:rPr>
          <w:sz w:val="24"/>
          <w:szCs w:val="24"/>
        </w:rPr>
        <w:t xml:space="preserve"> </w:t>
      </w:r>
      <w:r w:rsidR="00AD2FDF" w:rsidRPr="008B0A9C">
        <w:rPr>
          <w:sz w:val="24"/>
          <w:szCs w:val="24"/>
        </w:rPr>
        <w:t xml:space="preserve">Sezione delle autonomie con deliberazioni </w:t>
      </w:r>
      <w:r w:rsidR="00C82030" w:rsidRPr="008B0A9C">
        <w:rPr>
          <w:sz w:val="24"/>
          <w:szCs w:val="24"/>
        </w:rPr>
        <w:t>n. 21/2014</w:t>
      </w:r>
      <w:r w:rsidR="00FA1073" w:rsidRPr="008B0A9C">
        <w:rPr>
          <w:sz w:val="24"/>
          <w:szCs w:val="24"/>
        </w:rPr>
        <w:t>;</w:t>
      </w:r>
      <w:r w:rsidR="00C82030" w:rsidRPr="008B0A9C">
        <w:rPr>
          <w:sz w:val="24"/>
          <w:szCs w:val="24"/>
        </w:rPr>
        <w:t xml:space="preserve"> n. 23/2017</w:t>
      </w:r>
      <w:r w:rsidR="00F10C22">
        <w:rPr>
          <w:sz w:val="24"/>
          <w:szCs w:val="24"/>
        </w:rPr>
        <w:t>. S</w:t>
      </w:r>
      <w:r w:rsidR="00AD2FDF" w:rsidRPr="00483D06">
        <w:rPr>
          <w:sz w:val="24"/>
          <w:szCs w:val="24"/>
        </w:rPr>
        <w:t xml:space="preserve">u tale tipologia è intervenuta recentemente la </w:t>
      </w:r>
      <w:r w:rsidR="007E01F2" w:rsidRPr="00483D06">
        <w:rPr>
          <w:sz w:val="24"/>
          <w:szCs w:val="24"/>
        </w:rPr>
        <w:t>C</w:t>
      </w:r>
      <w:r w:rsidR="00C82030" w:rsidRPr="00483D06">
        <w:rPr>
          <w:sz w:val="24"/>
          <w:szCs w:val="24"/>
        </w:rPr>
        <w:t xml:space="preserve">orte </w:t>
      </w:r>
      <w:r w:rsidR="007E01F2" w:rsidRPr="00483D06">
        <w:rPr>
          <w:sz w:val="24"/>
          <w:szCs w:val="24"/>
        </w:rPr>
        <w:t>d</w:t>
      </w:r>
      <w:r w:rsidR="00C82030" w:rsidRPr="00483D06">
        <w:rPr>
          <w:sz w:val="24"/>
          <w:szCs w:val="24"/>
        </w:rPr>
        <w:t xml:space="preserve">ei Conti - Sezione </w:t>
      </w:r>
      <w:r w:rsidR="00BF31B0" w:rsidRPr="00483D06">
        <w:rPr>
          <w:sz w:val="24"/>
          <w:szCs w:val="24"/>
        </w:rPr>
        <w:t>di controllo per la Liguria</w:t>
      </w:r>
      <w:r w:rsidRPr="00483D06">
        <w:rPr>
          <w:sz w:val="24"/>
          <w:szCs w:val="24"/>
        </w:rPr>
        <w:t xml:space="preserve"> con deliberazione n. 1</w:t>
      </w:r>
      <w:r w:rsidR="00BF31B0" w:rsidRPr="00483D06">
        <w:rPr>
          <w:sz w:val="24"/>
          <w:szCs w:val="24"/>
        </w:rPr>
        <w:t>05</w:t>
      </w:r>
      <w:r w:rsidRPr="00483D06">
        <w:rPr>
          <w:sz w:val="24"/>
          <w:szCs w:val="24"/>
        </w:rPr>
        <w:t>/201</w:t>
      </w:r>
      <w:r w:rsidR="00BF31B0" w:rsidRPr="00483D06">
        <w:rPr>
          <w:sz w:val="24"/>
          <w:szCs w:val="24"/>
        </w:rPr>
        <w:t>8</w:t>
      </w:r>
      <w:r w:rsidR="00AD2FDF" w:rsidRPr="00483D06">
        <w:rPr>
          <w:sz w:val="24"/>
          <w:szCs w:val="24"/>
        </w:rPr>
        <w:t xml:space="preserve">, la quale </w:t>
      </w:r>
      <w:r w:rsidR="00F10C22">
        <w:rPr>
          <w:sz w:val="24"/>
          <w:szCs w:val="24"/>
        </w:rPr>
        <w:t>ha</w:t>
      </w:r>
      <w:r w:rsidR="00AD2FDF" w:rsidRPr="00483D06">
        <w:rPr>
          <w:sz w:val="24"/>
          <w:szCs w:val="24"/>
        </w:rPr>
        <w:t xml:space="preserve"> espresso un orientamento </w:t>
      </w:r>
      <w:r w:rsidR="00412A6B" w:rsidRPr="00483D06">
        <w:rPr>
          <w:sz w:val="24"/>
          <w:szCs w:val="24"/>
        </w:rPr>
        <w:t>favorevole</w:t>
      </w:r>
      <w:r w:rsidR="008B0A9C" w:rsidRPr="00483D06">
        <w:rPr>
          <w:sz w:val="24"/>
          <w:szCs w:val="24"/>
        </w:rPr>
        <w:t xml:space="preserve"> </w:t>
      </w:r>
      <w:r w:rsidR="00412A6B" w:rsidRPr="00483D06">
        <w:rPr>
          <w:sz w:val="24"/>
          <w:szCs w:val="24"/>
        </w:rPr>
        <w:t xml:space="preserve">limitatamente </w:t>
      </w:r>
      <w:r w:rsidR="008B0A9C" w:rsidRPr="00483D06">
        <w:rPr>
          <w:sz w:val="24"/>
          <w:szCs w:val="24"/>
        </w:rPr>
        <w:t>a</w:t>
      </w:r>
      <w:r w:rsidR="00412A6B" w:rsidRPr="00483D06">
        <w:rPr>
          <w:sz w:val="24"/>
          <w:szCs w:val="24"/>
        </w:rPr>
        <w:t>i rapporti con s</w:t>
      </w:r>
      <w:r w:rsidR="00E40FA5" w:rsidRPr="00483D06">
        <w:rPr>
          <w:sz w:val="24"/>
          <w:szCs w:val="24"/>
        </w:rPr>
        <w:t>o</w:t>
      </w:r>
      <w:r w:rsidR="00412A6B" w:rsidRPr="00483D06">
        <w:rPr>
          <w:sz w:val="24"/>
          <w:szCs w:val="24"/>
        </w:rPr>
        <w:t>ggetti privati;</w:t>
      </w:r>
    </w:p>
    <w:p w:rsidR="00614B8F" w:rsidRPr="0068016C" w:rsidRDefault="00BF31B0" w:rsidP="00F51705">
      <w:pPr>
        <w:pStyle w:val="Paragrafoelenco"/>
        <w:numPr>
          <w:ilvl w:val="0"/>
          <w:numId w:val="21"/>
        </w:numPr>
        <w:overflowPunct/>
        <w:autoSpaceDE/>
        <w:autoSpaceDN/>
        <w:adjustRightInd/>
        <w:spacing w:line="360" w:lineRule="auto"/>
        <w:jc w:val="both"/>
        <w:textAlignment w:val="auto"/>
        <w:rPr>
          <w:sz w:val="24"/>
          <w:szCs w:val="24"/>
        </w:rPr>
      </w:pPr>
      <w:r w:rsidRPr="0068016C">
        <w:rPr>
          <w:b/>
          <w:sz w:val="24"/>
          <w:szCs w:val="24"/>
        </w:rPr>
        <w:t>fondi di derivazione dell</w:t>
      </w:r>
      <w:r w:rsidR="007F41E3" w:rsidRPr="0068016C">
        <w:rPr>
          <w:b/>
          <w:sz w:val="24"/>
          <w:szCs w:val="24"/>
        </w:rPr>
        <w:t>’</w:t>
      </w:r>
      <w:r w:rsidRPr="0068016C">
        <w:rPr>
          <w:b/>
          <w:sz w:val="24"/>
          <w:szCs w:val="24"/>
        </w:rPr>
        <w:t>Unione europea</w:t>
      </w:r>
      <w:r w:rsidRPr="0068016C">
        <w:rPr>
          <w:sz w:val="24"/>
          <w:szCs w:val="24"/>
        </w:rPr>
        <w:t xml:space="preserve">, come </w:t>
      </w:r>
      <w:r w:rsidR="0068016C" w:rsidRPr="0068016C">
        <w:rPr>
          <w:sz w:val="24"/>
          <w:szCs w:val="24"/>
        </w:rPr>
        <w:t>indicato</w:t>
      </w:r>
      <w:r w:rsidRPr="0068016C">
        <w:rPr>
          <w:sz w:val="24"/>
          <w:szCs w:val="24"/>
        </w:rPr>
        <w:t xml:space="preserve"> </w:t>
      </w:r>
      <w:r w:rsidR="0068016C" w:rsidRPr="0068016C">
        <w:rPr>
          <w:sz w:val="24"/>
          <w:szCs w:val="24"/>
        </w:rPr>
        <w:t xml:space="preserve">dalla circolare MEF-RGS n. 16/2012, nelle relazioni illustrativa e tecnica al d.lgs. n. 75/2017, </w:t>
      </w:r>
      <w:r w:rsidR="0068016C">
        <w:rPr>
          <w:sz w:val="24"/>
          <w:szCs w:val="24"/>
        </w:rPr>
        <w:t xml:space="preserve">e </w:t>
      </w:r>
      <w:r w:rsidR="00F10C22">
        <w:rPr>
          <w:sz w:val="24"/>
          <w:szCs w:val="24"/>
        </w:rPr>
        <w:t xml:space="preserve">anche </w:t>
      </w:r>
      <w:r w:rsidRPr="0068016C">
        <w:rPr>
          <w:sz w:val="24"/>
          <w:szCs w:val="24"/>
        </w:rPr>
        <w:t xml:space="preserve">dalla Corte dei Conti </w:t>
      </w:r>
      <w:r w:rsidR="007F41E3" w:rsidRPr="0068016C">
        <w:rPr>
          <w:sz w:val="24"/>
          <w:szCs w:val="24"/>
        </w:rPr>
        <w:noBreakHyphen/>
        <w:t> </w:t>
      </w:r>
      <w:r w:rsidRPr="0068016C">
        <w:rPr>
          <w:sz w:val="24"/>
          <w:szCs w:val="24"/>
        </w:rPr>
        <w:t>Sezione delle autonomie con deliberazion</w:t>
      </w:r>
      <w:r w:rsidR="00C82030" w:rsidRPr="0068016C">
        <w:rPr>
          <w:sz w:val="24"/>
          <w:szCs w:val="24"/>
        </w:rPr>
        <w:t>i</w:t>
      </w:r>
      <w:r w:rsidRPr="0068016C">
        <w:rPr>
          <w:sz w:val="24"/>
          <w:szCs w:val="24"/>
        </w:rPr>
        <w:t xml:space="preserve"> n. </w:t>
      </w:r>
      <w:r w:rsidR="00C82030" w:rsidRPr="0068016C">
        <w:rPr>
          <w:sz w:val="24"/>
          <w:szCs w:val="24"/>
        </w:rPr>
        <w:t>26/2014</w:t>
      </w:r>
      <w:r w:rsidR="00FA1073" w:rsidRPr="0068016C">
        <w:rPr>
          <w:sz w:val="24"/>
          <w:szCs w:val="24"/>
        </w:rPr>
        <w:t>;</w:t>
      </w:r>
      <w:r w:rsidR="00C82030" w:rsidRPr="0068016C">
        <w:rPr>
          <w:sz w:val="24"/>
          <w:szCs w:val="24"/>
        </w:rPr>
        <w:t xml:space="preserve"> n. </w:t>
      </w:r>
      <w:r w:rsidRPr="0068016C">
        <w:rPr>
          <w:sz w:val="24"/>
          <w:szCs w:val="24"/>
        </w:rPr>
        <w:t>20/2017</w:t>
      </w:r>
      <w:r w:rsidR="00FA1073" w:rsidRPr="0068016C">
        <w:rPr>
          <w:sz w:val="24"/>
          <w:szCs w:val="24"/>
        </w:rPr>
        <w:t>;</w:t>
      </w:r>
      <w:r w:rsidR="00C82030" w:rsidRPr="0068016C">
        <w:rPr>
          <w:sz w:val="24"/>
          <w:szCs w:val="24"/>
        </w:rPr>
        <w:t xml:space="preserve"> n. 23/2017</w:t>
      </w:r>
      <w:r w:rsidRPr="0068016C">
        <w:rPr>
          <w:sz w:val="24"/>
          <w:szCs w:val="24"/>
        </w:rPr>
        <w:t>;</w:t>
      </w:r>
    </w:p>
    <w:p w:rsidR="00F10C22" w:rsidRDefault="00BF31B0" w:rsidP="00301124">
      <w:pPr>
        <w:pStyle w:val="Paragrafoelenco"/>
        <w:numPr>
          <w:ilvl w:val="0"/>
          <w:numId w:val="21"/>
        </w:numPr>
        <w:shd w:val="clear" w:color="auto" w:fill="FFFFFF"/>
        <w:overflowPunct/>
        <w:autoSpaceDE/>
        <w:autoSpaceDN/>
        <w:adjustRightInd/>
        <w:spacing w:line="360" w:lineRule="auto"/>
        <w:jc w:val="both"/>
        <w:textAlignment w:val="auto"/>
        <w:rPr>
          <w:sz w:val="24"/>
          <w:szCs w:val="24"/>
        </w:rPr>
      </w:pPr>
      <w:r w:rsidRPr="00F10C22">
        <w:rPr>
          <w:b/>
          <w:sz w:val="24"/>
          <w:szCs w:val="24"/>
        </w:rPr>
        <w:t xml:space="preserve">piani di razionalizzazione e riqualificazione della spesa </w:t>
      </w:r>
      <w:r w:rsidRPr="00F10C22">
        <w:rPr>
          <w:sz w:val="24"/>
          <w:szCs w:val="24"/>
        </w:rPr>
        <w:t>di cui all</w:t>
      </w:r>
      <w:r w:rsidR="007F41E3" w:rsidRPr="00F10C22">
        <w:rPr>
          <w:sz w:val="24"/>
          <w:szCs w:val="24"/>
        </w:rPr>
        <w:t>’</w:t>
      </w:r>
      <w:r w:rsidRPr="00F10C22">
        <w:rPr>
          <w:sz w:val="24"/>
          <w:szCs w:val="24"/>
        </w:rPr>
        <w:t xml:space="preserve">art. 16, commi 4 e 5, del decreto legge n. 98/2011, come </w:t>
      </w:r>
      <w:r w:rsidR="00A24FCE">
        <w:rPr>
          <w:sz w:val="24"/>
          <w:szCs w:val="24"/>
        </w:rPr>
        <w:t>indicato</w:t>
      </w:r>
      <w:r w:rsidR="002149A1">
        <w:rPr>
          <w:sz w:val="24"/>
          <w:szCs w:val="24"/>
        </w:rPr>
        <w:t xml:space="preserve"> anche</w:t>
      </w:r>
      <w:r w:rsidRPr="00F10C22">
        <w:rPr>
          <w:sz w:val="24"/>
          <w:szCs w:val="24"/>
        </w:rPr>
        <w:t xml:space="preserve"> dalla Corte dei Conti – Sezione di controllo per la regione Veneto con deliberazione n. 513/2012</w:t>
      </w:r>
      <w:r w:rsidR="00FA1073" w:rsidRPr="00F10C22">
        <w:rPr>
          <w:sz w:val="24"/>
          <w:szCs w:val="24"/>
        </w:rPr>
        <w:t>;</w:t>
      </w:r>
      <w:r w:rsidRPr="00F10C22">
        <w:rPr>
          <w:sz w:val="24"/>
          <w:szCs w:val="24"/>
        </w:rPr>
        <w:t xml:space="preserve"> </w:t>
      </w:r>
      <w:r w:rsidR="00C82030" w:rsidRPr="00F10C22">
        <w:rPr>
          <w:sz w:val="24"/>
          <w:szCs w:val="24"/>
        </w:rPr>
        <w:t xml:space="preserve">Sezione di controllo per </w:t>
      </w:r>
      <w:r w:rsidR="00C82030" w:rsidRPr="00F10C22">
        <w:rPr>
          <w:sz w:val="24"/>
          <w:szCs w:val="24"/>
        </w:rPr>
        <w:lastRenderedPageBreak/>
        <w:t>la regione Lombardia con deliberazione n. 324/2014</w:t>
      </w:r>
      <w:r w:rsidR="00FA1073" w:rsidRPr="00F10C22">
        <w:rPr>
          <w:sz w:val="24"/>
          <w:szCs w:val="24"/>
        </w:rPr>
        <w:t>;</w:t>
      </w:r>
      <w:r w:rsidR="00C82030" w:rsidRPr="00F10C22">
        <w:rPr>
          <w:sz w:val="24"/>
          <w:szCs w:val="24"/>
        </w:rPr>
        <w:t xml:space="preserve"> Sezione di controllo per la regione Emilia Romagna con deliberazione n. 136/2017, </w:t>
      </w:r>
      <w:r w:rsidRPr="00F10C22">
        <w:rPr>
          <w:sz w:val="24"/>
          <w:szCs w:val="24"/>
        </w:rPr>
        <w:t>e indicato nelle relazioni illustrativa e tecnica al d.lgs. n. 75/2017</w:t>
      </w:r>
      <w:r w:rsidR="00FA1073" w:rsidRPr="00F10C22">
        <w:rPr>
          <w:sz w:val="24"/>
          <w:szCs w:val="24"/>
        </w:rPr>
        <w:t>;</w:t>
      </w:r>
    </w:p>
    <w:p w:rsidR="00F10C22" w:rsidRPr="00557A75" w:rsidRDefault="00F10C22" w:rsidP="00707729">
      <w:pPr>
        <w:pStyle w:val="Paragrafoelenco"/>
        <w:numPr>
          <w:ilvl w:val="0"/>
          <w:numId w:val="21"/>
        </w:numPr>
        <w:shd w:val="clear" w:color="auto" w:fill="FFFFFF"/>
        <w:overflowPunct/>
        <w:autoSpaceDE/>
        <w:autoSpaceDN/>
        <w:adjustRightInd/>
        <w:spacing w:line="360" w:lineRule="auto"/>
        <w:jc w:val="both"/>
        <w:textAlignment w:val="auto"/>
        <w:rPr>
          <w:sz w:val="24"/>
          <w:szCs w:val="24"/>
        </w:rPr>
      </w:pPr>
      <w:r w:rsidRPr="00557A75">
        <w:rPr>
          <w:b/>
          <w:sz w:val="24"/>
          <w:szCs w:val="24"/>
        </w:rPr>
        <w:t>p</w:t>
      </w:r>
      <w:r w:rsidR="00FA1073" w:rsidRPr="00557A75">
        <w:rPr>
          <w:b/>
          <w:sz w:val="24"/>
          <w:szCs w:val="24"/>
        </w:rPr>
        <w:t xml:space="preserve">restazioni personale polizia locale con oneri conto terzi </w:t>
      </w:r>
      <w:r w:rsidR="00FA1073" w:rsidRPr="00557A75">
        <w:rPr>
          <w:sz w:val="24"/>
          <w:szCs w:val="24"/>
        </w:rPr>
        <w:t>di cui all</w:t>
      </w:r>
      <w:r w:rsidR="007F41E3" w:rsidRPr="00557A75">
        <w:rPr>
          <w:sz w:val="24"/>
          <w:szCs w:val="24"/>
        </w:rPr>
        <w:t>’</w:t>
      </w:r>
      <w:r w:rsidR="00FA1073" w:rsidRPr="00557A75">
        <w:rPr>
          <w:sz w:val="24"/>
          <w:szCs w:val="24"/>
        </w:rPr>
        <w:t xml:space="preserve">art. </w:t>
      </w:r>
      <w:r w:rsidR="00832EB7" w:rsidRPr="00557A75">
        <w:rPr>
          <w:sz w:val="24"/>
          <w:szCs w:val="24"/>
        </w:rPr>
        <w:t>22, comma 3</w:t>
      </w:r>
      <w:r w:rsidR="007F41E3" w:rsidRPr="00557A75">
        <w:rPr>
          <w:sz w:val="24"/>
          <w:szCs w:val="24"/>
        </w:rPr>
        <w:noBreakHyphen/>
      </w:r>
      <w:r w:rsidR="00832EB7" w:rsidRPr="00557A75">
        <w:rPr>
          <w:i/>
          <w:sz w:val="24"/>
          <w:szCs w:val="24"/>
        </w:rPr>
        <w:t>bis</w:t>
      </w:r>
      <w:r w:rsidR="00832EB7" w:rsidRPr="00557A75">
        <w:rPr>
          <w:sz w:val="24"/>
          <w:szCs w:val="24"/>
        </w:rPr>
        <w:t>, del decreto legge n. 50/2017, come indicato nella nota interpretativa della Conferenza Stato-città ed auto</w:t>
      </w:r>
      <w:r w:rsidRPr="00557A75">
        <w:rPr>
          <w:sz w:val="24"/>
          <w:szCs w:val="24"/>
        </w:rPr>
        <w:t>nomie locali del 26 luglio 2018.</w:t>
      </w:r>
      <w:r w:rsidR="00557A75" w:rsidRPr="00557A75">
        <w:rPr>
          <w:sz w:val="24"/>
          <w:szCs w:val="24"/>
        </w:rPr>
        <w:t>, la quale ha chiarito che essendo tali risorse  “</w:t>
      </w:r>
      <w:r w:rsidR="00557A75" w:rsidRPr="00557A75">
        <w:rPr>
          <w:i/>
          <w:sz w:val="24"/>
          <w:szCs w:val="24"/>
        </w:rPr>
        <w:t>…neutrali ai fini del rispetto dei saldi di finanza pubblica, non sono oggetto di conteggio ai sensi delle disposizioni di legge finalizzate  al contenimento della spessa di personale e, segnatamente, l’art. 1, commi 557 - 557-quater e 562 della L. n. 296/2006 e l’art. 23, comma 2, del d.lgs. n. 75/2017</w:t>
      </w:r>
      <w:r w:rsidR="00557A75" w:rsidRPr="00557A75">
        <w:rPr>
          <w:sz w:val="24"/>
          <w:szCs w:val="24"/>
        </w:rPr>
        <w:t xml:space="preserve">.”  </w:t>
      </w:r>
      <w:r w:rsidRPr="00557A75">
        <w:rPr>
          <w:sz w:val="24"/>
          <w:szCs w:val="24"/>
        </w:rPr>
        <w:t>Giova segnalare che, invece, rientrano nel limite previsto dall’art. 23, comma 2, del d.lgs. n. 75/2017, gli</w:t>
      </w:r>
      <w:r w:rsidRPr="00557A75">
        <w:rPr>
          <w:b/>
          <w:sz w:val="24"/>
          <w:szCs w:val="24"/>
        </w:rPr>
        <w:t xml:space="preserve"> incentivi alla polizia locale derivanti da contravvenzioni ex art. 208 Codice della Strada</w:t>
      </w:r>
      <w:r w:rsidRPr="00557A75">
        <w:rPr>
          <w:sz w:val="24"/>
          <w:szCs w:val="24"/>
        </w:rPr>
        <w:t>, come indicato dalla Corte dei Conti - Sezione di controllo per il Piemonte con deliberazione n. 257/2012; Sezione di controllo per il Lazio con deliberazione n. 222/2014; Sezione di controllo per la Liguria con deliberazione n. 30/2018.</w:t>
      </w:r>
    </w:p>
    <w:p w:rsidR="00D360F1" w:rsidRDefault="00D360F1" w:rsidP="00614B8F">
      <w:pPr>
        <w:pStyle w:val="Paragrafoelenco"/>
        <w:numPr>
          <w:ilvl w:val="0"/>
          <w:numId w:val="21"/>
        </w:numPr>
        <w:overflowPunct/>
        <w:autoSpaceDE/>
        <w:autoSpaceDN/>
        <w:adjustRightInd/>
        <w:spacing w:line="360" w:lineRule="auto"/>
        <w:jc w:val="both"/>
        <w:textAlignment w:val="auto"/>
        <w:rPr>
          <w:sz w:val="24"/>
          <w:szCs w:val="24"/>
        </w:rPr>
      </w:pPr>
      <w:r>
        <w:rPr>
          <w:b/>
          <w:sz w:val="24"/>
          <w:szCs w:val="24"/>
        </w:rPr>
        <w:t>armonizzazione trattamento accessorio del personale dei Centri per l</w:t>
      </w:r>
      <w:r w:rsidR="007F41E3">
        <w:rPr>
          <w:b/>
          <w:sz w:val="24"/>
          <w:szCs w:val="24"/>
        </w:rPr>
        <w:t>’</w:t>
      </w:r>
      <w:r>
        <w:rPr>
          <w:b/>
          <w:sz w:val="24"/>
          <w:szCs w:val="24"/>
        </w:rPr>
        <w:t xml:space="preserve">impiego </w:t>
      </w:r>
      <w:r w:rsidRPr="00D360F1">
        <w:rPr>
          <w:sz w:val="24"/>
          <w:szCs w:val="24"/>
        </w:rPr>
        <w:t>trasferito alle Regioni</w:t>
      </w:r>
      <w:r>
        <w:rPr>
          <w:sz w:val="24"/>
          <w:szCs w:val="24"/>
        </w:rPr>
        <w:t xml:space="preserve"> con</w:t>
      </w:r>
      <w:r w:rsidRPr="00D360F1">
        <w:rPr>
          <w:sz w:val="24"/>
          <w:szCs w:val="24"/>
        </w:rPr>
        <w:t xml:space="preserve"> cons</w:t>
      </w:r>
      <w:r>
        <w:rPr>
          <w:sz w:val="24"/>
          <w:szCs w:val="24"/>
        </w:rPr>
        <w:t>e</w:t>
      </w:r>
      <w:r w:rsidRPr="00D360F1">
        <w:rPr>
          <w:sz w:val="24"/>
          <w:szCs w:val="24"/>
        </w:rPr>
        <w:t>guente adeguamento di fondi, come previsto dall</w:t>
      </w:r>
      <w:r w:rsidR="007F41E3">
        <w:rPr>
          <w:sz w:val="24"/>
          <w:szCs w:val="24"/>
        </w:rPr>
        <w:t>’</w:t>
      </w:r>
      <w:r w:rsidRPr="00D360F1">
        <w:rPr>
          <w:sz w:val="24"/>
          <w:szCs w:val="24"/>
        </w:rPr>
        <w:t>art. 1, comma 799, del</w:t>
      </w:r>
      <w:r>
        <w:rPr>
          <w:sz w:val="24"/>
          <w:szCs w:val="24"/>
        </w:rPr>
        <w:t xml:space="preserve">la </w:t>
      </w:r>
      <w:r w:rsidRPr="00D360F1">
        <w:rPr>
          <w:sz w:val="24"/>
          <w:szCs w:val="24"/>
        </w:rPr>
        <w:t>legge n. 205/2017 (legge di bilancio 2018;</w:t>
      </w:r>
    </w:p>
    <w:p w:rsidR="00D360F1" w:rsidRDefault="00D360F1" w:rsidP="00D360F1">
      <w:pPr>
        <w:pStyle w:val="Paragrafoelenco"/>
        <w:numPr>
          <w:ilvl w:val="0"/>
          <w:numId w:val="21"/>
        </w:numPr>
        <w:overflowPunct/>
        <w:autoSpaceDE/>
        <w:autoSpaceDN/>
        <w:adjustRightInd/>
        <w:spacing w:line="360" w:lineRule="auto"/>
        <w:jc w:val="both"/>
        <w:textAlignment w:val="auto"/>
        <w:rPr>
          <w:sz w:val="24"/>
          <w:szCs w:val="24"/>
        </w:rPr>
      </w:pPr>
      <w:r w:rsidRPr="00D360F1">
        <w:rPr>
          <w:b/>
          <w:sz w:val="24"/>
          <w:szCs w:val="24"/>
        </w:rPr>
        <w:t>armonizzazione trattamento accessorio</w:t>
      </w:r>
      <w:r>
        <w:rPr>
          <w:b/>
          <w:sz w:val="24"/>
          <w:szCs w:val="24"/>
        </w:rPr>
        <w:t xml:space="preserve"> del</w:t>
      </w:r>
      <w:r w:rsidRPr="00D360F1">
        <w:rPr>
          <w:b/>
          <w:sz w:val="24"/>
          <w:szCs w:val="24"/>
        </w:rPr>
        <w:t xml:space="preserve"> personale delle città metropolitane e delle province </w:t>
      </w:r>
      <w:r w:rsidRPr="00D360F1">
        <w:rPr>
          <w:sz w:val="24"/>
          <w:szCs w:val="24"/>
        </w:rPr>
        <w:t>trasferito a</w:t>
      </w:r>
      <w:r>
        <w:rPr>
          <w:sz w:val="24"/>
          <w:szCs w:val="24"/>
        </w:rPr>
        <w:t>d altre pubbliche amministrazioni, con</w:t>
      </w:r>
      <w:r w:rsidRPr="00D360F1">
        <w:rPr>
          <w:sz w:val="24"/>
          <w:szCs w:val="24"/>
        </w:rPr>
        <w:t xml:space="preserve"> cons</w:t>
      </w:r>
      <w:r>
        <w:rPr>
          <w:sz w:val="24"/>
          <w:szCs w:val="24"/>
        </w:rPr>
        <w:t>e</w:t>
      </w:r>
      <w:r w:rsidRPr="00D360F1">
        <w:rPr>
          <w:sz w:val="24"/>
          <w:szCs w:val="24"/>
        </w:rPr>
        <w:t>guente adeguamento di fondi</w:t>
      </w:r>
      <w:r w:rsidR="007F41E3" w:rsidRPr="0006679C">
        <w:rPr>
          <w:sz w:val="24"/>
          <w:szCs w:val="24"/>
        </w:rPr>
        <w:t>,</w:t>
      </w:r>
      <w:r w:rsidRPr="0006679C">
        <w:rPr>
          <w:sz w:val="24"/>
          <w:szCs w:val="24"/>
        </w:rPr>
        <w:t xml:space="preserve"> </w:t>
      </w:r>
      <w:r w:rsidRPr="00F10C22">
        <w:rPr>
          <w:sz w:val="24"/>
          <w:szCs w:val="24"/>
        </w:rPr>
        <w:t>subordinatamente alla sussistenza di specifiche condizioni</w:t>
      </w:r>
      <w:r>
        <w:rPr>
          <w:sz w:val="24"/>
          <w:szCs w:val="24"/>
        </w:rPr>
        <w:t>,</w:t>
      </w:r>
      <w:r w:rsidRPr="00D360F1">
        <w:rPr>
          <w:sz w:val="24"/>
          <w:szCs w:val="24"/>
        </w:rPr>
        <w:t xml:space="preserve"> previsto dall</w:t>
      </w:r>
      <w:r w:rsidR="007F41E3">
        <w:rPr>
          <w:sz w:val="24"/>
          <w:szCs w:val="24"/>
        </w:rPr>
        <w:t>’</w:t>
      </w:r>
      <w:r w:rsidRPr="00D360F1">
        <w:rPr>
          <w:sz w:val="24"/>
          <w:szCs w:val="24"/>
        </w:rPr>
        <w:t xml:space="preserve">art. 1, comma </w:t>
      </w:r>
      <w:r>
        <w:rPr>
          <w:sz w:val="24"/>
          <w:szCs w:val="24"/>
        </w:rPr>
        <w:t>800</w:t>
      </w:r>
      <w:r w:rsidRPr="00D360F1">
        <w:rPr>
          <w:sz w:val="24"/>
          <w:szCs w:val="24"/>
        </w:rPr>
        <w:t>, del</w:t>
      </w:r>
      <w:r>
        <w:rPr>
          <w:sz w:val="24"/>
          <w:szCs w:val="24"/>
        </w:rPr>
        <w:t xml:space="preserve">la </w:t>
      </w:r>
      <w:r w:rsidRPr="00D360F1">
        <w:rPr>
          <w:sz w:val="24"/>
          <w:szCs w:val="24"/>
        </w:rPr>
        <w:t>legge n. 20</w:t>
      </w:r>
      <w:r w:rsidR="00F10C22">
        <w:rPr>
          <w:sz w:val="24"/>
          <w:szCs w:val="24"/>
        </w:rPr>
        <w:t>5/2017 (legge di bilancio 2018), come sopra illustrato nella risposta al primo quesito posto;</w:t>
      </w:r>
    </w:p>
    <w:p w:rsidR="00317D24" w:rsidRPr="0006679C" w:rsidRDefault="00317D24" w:rsidP="00D360F1">
      <w:pPr>
        <w:pStyle w:val="Paragrafoelenco"/>
        <w:numPr>
          <w:ilvl w:val="0"/>
          <w:numId w:val="21"/>
        </w:numPr>
        <w:overflowPunct/>
        <w:autoSpaceDE/>
        <w:autoSpaceDN/>
        <w:adjustRightInd/>
        <w:spacing w:line="360" w:lineRule="auto"/>
        <w:jc w:val="both"/>
        <w:textAlignment w:val="auto"/>
        <w:rPr>
          <w:sz w:val="24"/>
          <w:szCs w:val="24"/>
        </w:rPr>
      </w:pPr>
      <w:r w:rsidRPr="0006679C">
        <w:rPr>
          <w:b/>
          <w:sz w:val="24"/>
          <w:szCs w:val="24"/>
        </w:rPr>
        <w:t xml:space="preserve">le risorse dei rinnovi CCNL destinate ai Fondi per il trattamento economico accessorio del personale, </w:t>
      </w:r>
      <w:r w:rsidRPr="0006679C">
        <w:rPr>
          <w:sz w:val="24"/>
          <w:szCs w:val="24"/>
        </w:rPr>
        <w:t>in quanto derivanti da risorse finanziarie definite a livello nazionale e previste nei quadri di finanza pubblica</w:t>
      </w:r>
      <w:r w:rsidR="002149A1">
        <w:rPr>
          <w:sz w:val="24"/>
          <w:szCs w:val="24"/>
        </w:rPr>
        <w:t>,</w:t>
      </w:r>
      <w:r w:rsidRPr="0006679C">
        <w:rPr>
          <w:sz w:val="24"/>
          <w:szCs w:val="24"/>
        </w:rPr>
        <w:t xml:space="preserve"> come </w:t>
      </w:r>
      <w:r w:rsidR="00A24FCE">
        <w:rPr>
          <w:sz w:val="24"/>
          <w:szCs w:val="24"/>
        </w:rPr>
        <w:t>indicato</w:t>
      </w:r>
      <w:r w:rsidRPr="0006679C">
        <w:rPr>
          <w:b/>
          <w:sz w:val="24"/>
          <w:szCs w:val="24"/>
        </w:rPr>
        <w:t xml:space="preserve"> </w:t>
      </w:r>
      <w:r w:rsidR="002149A1">
        <w:rPr>
          <w:sz w:val="24"/>
          <w:szCs w:val="24"/>
        </w:rPr>
        <w:t xml:space="preserve">anche </w:t>
      </w:r>
      <w:bookmarkStart w:id="0" w:name="_GoBack"/>
      <w:bookmarkEnd w:id="0"/>
      <w:r w:rsidRPr="0006679C">
        <w:rPr>
          <w:sz w:val="24"/>
          <w:szCs w:val="24"/>
        </w:rPr>
        <w:t>dalla Corte dei Conti – Sezione delle autonomie con deliberazione n. 19/2018.</w:t>
      </w:r>
    </w:p>
    <w:p w:rsidR="00F10C22" w:rsidRPr="007E01F2" w:rsidRDefault="00D360F1" w:rsidP="00F10C22">
      <w:pPr>
        <w:shd w:val="clear" w:color="auto" w:fill="FFFFFF"/>
        <w:overflowPunct/>
        <w:autoSpaceDE/>
        <w:autoSpaceDN/>
        <w:adjustRightInd/>
        <w:spacing w:line="360" w:lineRule="auto"/>
        <w:ind w:firstLine="709"/>
        <w:jc w:val="both"/>
        <w:textAlignment w:val="auto"/>
        <w:rPr>
          <w:sz w:val="24"/>
          <w:szCs w:val="24"/>
        </w:rPr>
      </w:pPr>
      <w:r w:rsidRPr="00D360F1">
        <w:rPr>
          <w:b/>
          <w:sz w:val="24"/>
          <w:szCs w:val="24"/>
        </w:rPr>
        <w:t xml:space="preserve"> </w:t>
      </w:r>
    </w:p>
    <w:p w:rsidR="00D54D8B" w:rsidRDefault="00D54D8B" w:rsidP="00D54D8B">
      <w:pPr>
        <w:pStyle w:val="NormaleWeb"/>
        <w:spacing w:before="0" w:beforeAutospacing="0" w:after="0" w:afterAutospacing="0"/>
        <w:ind w:left="5672"/>
      </w:pPr>
      <w:r>
        <w:t>Il Ragioniere generale dello Stato</w:t>
      </w:r>
    </w:p>
    <w:sectPr w:rsidR="00D54D8B" w:rsidSect="00C5703B">
      <w:footerReference w:type="default" r:id="rId17"/>
      <w:pgSz w:w="11907" w:h="16840" w:code="9"/>
      <w:pgMar w:top="1304" w:right="1304" w:bottom="1418"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FC8" w:rsidRDefault="00AD3FC8" w:rsidP="000D169F">
      <w:r>
        <w:separator/>
      </w:r>
    </w:p>
  </w:endnote>
  <w:endnote w:type="continuationSeparator" w:id="0">
    <w:p w:rsidR="00AD3FC8" w:rsidRDefault="00AD3FC8" w:rsidP="000D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907643"/>
      <w:docPartObj>
        <w:docPartGallery w:val="Page Numbers (Bottom of Page)"/>
        <w:docPartUnique/>
      </w:docPartObj>
    </w:sdtPr>
    <w:sdtEndPr/>
    <w:sdtContent>
      <w:p w:rsidR="001A6428" w:rsidRDefault="001A6428">
        <w:pPr>
          <w:pStyle w:val="Pidipagina"/>
          <w:jc w:val="right"/>
        </w:pPr>
        <w:r>
          <w:fldChar w:fldCharType="begin"/>
        </w:r>
        <w:r>
          <w:instrText>PAGE   \* MERGEFORMAT</w:instrText>
        </w:r>
        <w:r>
          <w:fldChar w:fldCharType="separate"/>
        </w:r>
        <w:r w:rsidR="002149A1">
          <w:rPr>
            <w:noProof/>
          </w:rPr>
          <w:t>5</w:t>
        </w:r>
        <w:r>
          <w:fldChar w:fldCharType="end"/>
        </w:r>
      </w:p>
    </w:sdtContent>
  </w:sdt>
  <w:p w:rsidR="000D169F" w:rsidRDefault="000D16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FC8" w:rsidRDefault="00AD3FC8" w:rsidP="000D169F">
      <w:r>
        <w:separator/>
      </w:r>
    </w:p>
  </w:footnote>
  <w:footnote w:type="continuationSeparator" w:id="0">
    <w:p w:rsidR="00AD3FC8" w:rsidRDefault="00AD3FC8" w:rsidP="000D1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5F5D"/>
    <w:multiLevelType w:val="hybridMultilevel"/>
    <w:tmpl w:val="3CA606A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155248"/>
    <w:multiLevelType w:val="hybridMultilevel"/>
    <w:tmpl w:val="CF4E962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A61DAF"/>
    <w:multiLevelType w:val="hybridMultilevel"/>
    <w:tmpl w:val="E1DA1072"/>
    <w:lvl w:ilvl="0" w:tplc="B176697A">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6B25A6"/>
    <w:multiLevelType w:val="hybridMultilevel"/>
    <w:tmpl w:val="335A66F4"/>
    <w:lvl w:ilvl="0" w:tplc="CD76CB3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A0C0065"/>
    <w:multiLevelType w:val="hybridMultilevel"/>
    <w:tmpl w:val="D3D637E0"/>
    <w:lvl w:ilvl="0" w:tplc="B176697A">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15:restartNumberingAfterBreak="0">
    <w:nsid w:val="1E8164FA"/>
    <w:multiLevelType w:val="hybridMultilevel"/>
    <w:tmpl w:val="07B272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A417DF"/>
    <w:multiLevelType w:val="hybridMultilevel"/>
    <w:tmpl w:val="00C83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B71866"/>
    <w:multiLevelType w:val="hybridMultilevel"/>
    <w:tmpl w:val="DBFCD0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623454"/>
    <w:multiLevelType w:val="hybridMultilevel"/>
    <w:tmpl w:val="8B3AD3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C601C2"/>
    <w:multiLevelType w:val="hybridMultilevel"/>
    <w:tmpl w:val="202A7186"/>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0" w15:restartNumberingAfterBreak="0">
    <w:nsid w:val="36BB62F1"/>
    <w:multiLevelType w:val="hybridMultilevel"/>
    <w:tmpl w:val="E5A20DF8"/>
    <w:lvl w:ilvl="0" w:tplc="2F52DA26">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38DC0CD9"/>
    <w:multiLevelType w:val="hybridMultilevel"/>
    <w:tmpl w:val="7C544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B65F4A"/>
    <w:multiLevelType w:val="hybridMultilevel"/>
    <w:tmpl w:val="4C7A3A1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2B96CD8"/>
    <w:multiLevelType w:val="hybridMultilevel"/>
    <w:tmpl w:val="389414B6"/>
    <w:lvl w:ilvl="0" w:tplc="0410000F">
      <w:start w:val="1"/>
      <w:numFmt w:val="decimal"/>
      <w:lvlText w:val="%1."/>
      <w:lvlJc w:val="left"/>
      <w:pPr>
        <w:ind w:left="720" w:hanging="360"/>
      </w:pPr>
    </w:lvl>
    <w:lvl w:ilvl="1" w:tplc="0D4C8B1C">
      <w:numFmt w:val="bullet"/>
      <w:lvlText w:val=""/>
      <w:lvlJc w:val="left"/>
      <w:pPr>
        <w:ind w:left="1440" w:hanging="360"/>
      </w:pPr>
      <w:rPr>
        <w:rFonts w:ascii="Symbol" w:eastAsiaTheme="minorHAnsi" w:hAnsi="Symbol"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7F37497"/>
    <w:multiLevelType w:val="hybridMultilevel"/>
    <w:tmpl w:val="A7607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D776922"/>
    <w:multiLevelType w:val="hybridMultilevel"/>
    <w:tmpl w:val="012AE6FC"/>
    <w:lvl w:ilvl="0" w:tplc="B176697A">
      <w:numFmt w:val="bullet"/>
      <w:lvlText w:val="-"/>
      <w:lvlJc w:val="left"/>
      <w:pPr>
        <w:ind w:left="1077" w:hanging="360"/>
      </w:pPr>
      <w:rPr>
        <w:rFonts w:ascii="Times New Roman" w:eastAsia="Times New Roman" w:hAnsi="Times New Roman" w:cs="Times New Roman"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6" w15:restartNumberingAfterBreak="0">
    <w:nsid w:val="60683D67"/>
    <w:multiLevelType w:val="hybridMultilevel"/>
    <w:tmpl w:val="B64E7546"/>
    <w:lvl w:ilvl="0" w:tplc="04100005">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7" w15:restartNumberingAfterBreak="0">
    <w:nsid w:val="6271655B"/>
    <w:multiLevelType w:val="hybridMultilevel"/>
    <w:tmpl w:val="B47463F6"/>
    <w:lvl w:ilvl="0" w:tplc="04100017">
      <w:start w:val="1"/>
      <w:numFmt w:val="lowerLetter"/>
      <w:lvlText w:val="%1)"/>
      <w:lvlJc w:val="left"/>
      <w:pPr>
        <w:ind w:left="720" w:hanging="360"/>
      </w:pPr>
    </w:lvl>
    <w:lvl w:ilvl="1" w:tplc="0D4C8B1C">
      <w:numFmt w:val="bullet"/>
      <w:lvlText w:val=""/>
      <w:lvlJc w:val="left"/>
      <w:pPr>
        <w:ind w:left="1440" w:hanging="360"/>
      </w:pPr>
      <w:rPr>
        <w:rFonts w:ascii="Symbol" w:eastAsiaTheme="minorHAnsi" w:hAnsi="Symbol"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3F62125"/>
    <w:multiLevelType w:val="hybridMultilevel"/>
    <w:tmpl w:val="6FD0DCDC"/>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9" w15:restartNumberingAfterBreak="0">
    <w:nsid w:val="6C083094"/>
    <w:multiLevelType w:val="hybridMultilevel"/>
    <w:tmpl w:val="D6921C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C610F4E"/>
    <w:multiLevelType w:val="hybridMultilevel"/>
    <w:tmpl w:val="BEC4D8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D043F0"/>
    <w:multiLevelType w:val="hybridMultilevel"/>
    <w:tmpl w:val="03120B98"/>
    <w:lvl w:ilvl="0" w:tplc="2F52DA2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17A15F7"/>
    <w:multiLevelType w:val="hybridMultilevel"/>
    <w:tmpl w:val="34F0555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6B7276C"/>
    <w:multiLevelType w:val="hybridMultilevel"/>
    <w:tmpl w:val="2AF8C2A6"/>
    <w:lvl w:ilvl="0" w:tplc="D64CAB82">
      <w:numFmt w:val="bullet"/>
      <w:lvlText w:val="-"/>
      <w:lvlJc w:val="left"/>
      <w:pPr>
        <w:ind w:left="2061" w:hanging="360"/>
      </w:pPr>
      <w:rPr>
        <w:rFonts w:ascii="Times New Roman" w:eastAsia="Times New Roman" w:hAnsi="Times New Roman"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24" w15:restartNumberingAfterBreak="0">
    <w:nsid w:val="785E7E92"/>
    <w:multiLevelType w:val="hybridMultilevel"/>
    <w:tmpl w:val="FEBC3214"/>
    <w:lvl w:ilvl="0" w:tplc="C392592A">
      <w:start w:val="1"/>
      <w:numFmt w:val="decimal"/>
      <w:lvlText w:val="%1)"/>
      <w:lvlJc w:val="left"/>
      <w:pPr>
        <w:ind w:left="1352"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num w:numId="1">
    <w:abstractNumId w:val="22"/>
  </w:num>
  <w:num w:numId="2">
    <w:abstractNumId w:val="18"/>
  </w:num>
  <w:num w:numId="3">
    <w:abstractNumId w:val="16"/>
  </w:num>
  <w:num w:numId="4">
    <w:abstractNumId w:val="23"/>
  </w:num>
  <w:num w:numId="5">
    <w:abstractNumId w:val="24"/>
  </w:num>
  <w:num w:numId="6">
    <w:abstractNumId w:val="3"/>
  </w:num>
  <w:num w:numId="7">
    <w:abstractNumId w:val="7"/>
  </w:num>
  <w:num w:numId="8">
    <w:abstractNumId w:val="5"/>
  </w:num>
  <w:num w:numId="9">
    <w:abstractNumId w:val="19"/>
  </w:num>
  <w:num w:numId="10">
    <w:abstractNumId w:val="14"/>
  </w:num>
  <w:num w:numId="11">
    <w:abstractNumId w:val="11"/>
  </w:num>
  <w:num w:numId="12">
    <w:abstractNumId w:val="21"/>
  </w:num>
  <w:num w:numId="13">
    <w:abstractNumId w:val="10"/>
  </w:num>
  <w:num w:numId="14">
    <w:abstractNumId w:val="13"/>
  </w:num>
  <w:num w:numId="15">
    <w:abstractNumId w:val="8"/>
  </w:num>
  <w:num w:numId="16">
    <w:abstractNumId w:val="17"/>
  </w:num>
  <w:num w:numId="17">
    <w:abstractNumId w:val="4"/>
  </w:num>
  <w:num w:numId="18">
    <w:abstractNumId w:val="20"/>
  </w:num>
  <w:num w:numId="19">
    <w:abstractNumId w:val="2"/>
  </w:num>
  <w:num w:numId="20">
    <w:abstractNumId w:val="1"/>
  </w:num>
  <w:num w:numId="21">
    <w:abstractNumId w:val="12"/>
  </w:num>
  <w:num w:numId="22">
    <w:abstractNumId w:val="0"/>
  </w:num>
  <w:num w:numId="23">
    <w:abstractNumId w:val="6"/>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430F4"/>
    <w:rsid w:val="000005CA"/>
    <w:rsid w:val="00003F0D"/>
    <w:rsid w:val="00004073"/>
    <w:rsid w:val="00004BDE"/>
    <w:rsid w:val="000069D7"/>
    <w:rsid w:val="00014B63"/>
    <w:rsid w:val="000158D9"/>
    <w:rsid w:val="00016A11"/>
    <w:rsid w:val="000170A9"/>
    <w:rsid w:val="000215AC"/>
    <w:rsid w:val="00024A96"/>
    <w:rsid w:val="00027972"/>
    <w:rsid w:val="00030E82"/>
    <w:rsid w:val="00034CE7"/>
    <w:rsid w:val="000419D4"/>
    <w:rsid w:val="00045FB0"/>
    <w:rsid w:val="00055C99"/>
    <w:rsid w:val="0005726A"/>
    <w:rsid w:val="00060620"/>
    <w:rsid w:val="0006679C"/>
    <w:rsid w:val="00073748"/>
    <w:rsid w:val="00073881"/>
    <w:rsid w:val="00074725"/>
    <w:rsid w:val="00082109"/>
    <w:rsid w:val="00084757"/>
    <w:rsid w:val="00085387"/>
    <w:rsid w:val="000905B8"/>
    <w:rsid w:val="00091F4B"/>
    <w:rsid w:val="00092211"/>
    <w:rsid w:val="0009256D"/>
    <w:rsid w:val="00097846"/>
    <w:rsid w:val="000A3AC4"/>
    <w:rsid w:val="000A55F9"/>
    <w:rsid w:val="000A736D"/>
    <w:rsid w:val="000B0BF2"/>
    <w:rsid w:val="000B105A"/>
    <w:rsid w:val="000B136A"/>
    <w:rsid w:val="000B177C"/>
    <w:rsid w:val="000B3A69"/>
    <w:rsid w:val="000B54B6"/>
    <w:rsid w:val="000C252E"/>
    <w:rsid w:val="000C49EA"/>
    <w:rsid w:val="000C6E76"/>
    <w:rsid w:val="000D169F"/>
    <w:rsid w:val="000D4ED0"/>
    <w:rsid w:val="000D677D"/>
    <w:rsid w:val="000E6D08"/>
    <w:rsid w:val="000F6ED2"/>
    <w:rsid w:val="00104A28"/>
    <w:rsid w:val="00110A67"/>
    <w:rsid w:val="00111464"/>
    <w:rsid w:val="00111DCD"/>
    <w:rsid w:val="00115576"/>
    <w:rsid w:val="0011627A"/>
    <w:rsid w:val="001169ED"/>
    <w:rsid w:val="0012062D"/>
    <w:rsid w:val="00122ECB"/>
    <w:rsid w:val="0012327C"/>
    <w:rsid w:val="0012704F"/>
    <w:rsid w:val="001328AC"/>
    <w:rsid w:val="00132F95"/>
    <w:rsid w:val="001353BD"/>
    <w:rsid w:val="001401BE"/>
    <w:rsid w:val="001430F4"/>
    <w:rsid w:val="001440BE"/>
    <w:rsid w:val="00146771"/>
    <w:rsid w:val="001501AF"/>
    <w:rsid w:val="00162A03"/>
    <w:rsid w:val="00162FA1"/>
    <w:rsid w:val="00164B1D"/>
    <w:rsid w:val="0016634E"/>
    <w:rsid w:val="00175460"/>
    <w:rsid w:val="0018021A"/>
    <w:rsid w:val="001829ED"/>
    <w:rsid w:val="00187D89"/>
    <w:rsid w:val="00190C87"/>
    <w:rsid w:val="001A4BE8"/>
    <w:rsid w:val="001A6428"/>
    <w:rsid w:val="001B2F2B"/>
    <w:rsid w:val="001B3B57"/>
    <w:rsid w:val="001B59BC"/>
    <w:rsid w:val="001B6999"/>
    <w:rsid w:val="001C2F6D"/>
    <w:rsid w:val="001C7A1C"/>
    <w:rsid w:val="001D7401"/>
    <w:rsid w:val="001E1ECE"/>
    <w:rsid w:val="001E253C"/>
    <w:rsid w:val="001E2DFC"/>
    <w:rsid w:val="001E3884"/>
    <w:rsid w:val="001E44EF"/>
    <w:rsid w:val="001E4AF4"/>
    <w:rsid w:val="001E4BB7"/>
    <w:rsid w:val="001F57DE"/>
    <w:rsid w:val="00200A25"/>
    <w:rsid w:val="00202B99"/>
    <w:rsid w:val="00205F0C"/>
    <w:rsid w:val="00206313"/>
    <w:rsid w:val="0021005E"/>
    <w:rsid w:val="0021239C"/>
    <w:rsid w:val="002135FE"/>
    <w:rsid w:val="002149A1"/>
    <w:rsid w:val="002163BB"/>
    <w:rsid w:val="00225FB6"/>
    <w:rsid w:val="00226A8B"/>
    <w:rsid w:val="002300F5"/>
    <w:rsid w:val="00230FD1"/>
    <w:rsid w:val="00240346"/>
    <w:rsid w:val="002406A4"/>
    <w:rsid w:val="0024326D"/>
    <w:rsid w:val="00243BB4"/>
    <w:rsid w:val="0024542A"/>
    <w:rsid w:val="00247F62"/>
    <w:rsid w:val="00253EF8"/>
    <w:rsid w:val="002555E2"/>
    <w:rsid w:val="00260BA8"/>
    <w:rsid w:val="00265A76"/>
    <w:rsid w:val="00266089"/>
    <w:rsid w:val="00266CDD"/>
    <w:rsid w:val="002677EE"/>
    <w:rsid w:val="00271592"/>
    <w:rsid w:val="00274B6D"/>
    <w:rsid w:val="0027655C"/>
    <w:rsid w:val="00276A5F"/>
    <w:rsid w:val="00281B01"/>
    <w:rsid w:val="00286F40"/>
    <w:rsid w:val="00293ECF"/>
    <w:rsid w:val="00296DD4"/>
    <w:rsid w:val="002A28A4"/>
    <w:rsid w:val="002A653B"/>
    <w:rsid w:val="002B3B65"/>
    <w:rsid w:val="002B6596"/>
    <w:rsid w:val="002C17EF"/>
    <w:rsid w:val="002C22F4"/>
    <w:rsid w:val="002C6590"/>
    <w:rsid w:val="002D29C9"/>
    <w:rsid w:val="002E19B8"/>
    <w:rsid w:val="002E3281"/>
    <w:rsid w:val="002E4861"/>
    <w:rsid w:val="002E6138"/>
    <w:rsid w:val="002E7ECC"/>
    <w:rsid w:val="002F1294"/>
    <w:rsid w:val="002F68A3"/>
    <w:rsid w:val="002F7E04"/>
    <w:rsid w:val="003148CC"/>
    <w:rsid w:val="00316BB4"/>
    <w:rsid w:val="00317D24"/>
    <w:rsid w:val="0032106D"/>
    <w:rsid w:val="003210B7"/>
    <w:rsid w:val="00321954"/>
    <w:rsid w:val="00321BFA"/>
    <w:rsid w:val="003249B2"/>
    <w:rsid w:val="003303FC"/>
    <w:rsid w:val="00334D52"/>
    <w:rsid w:val="003369FD"/>
    <w:rsid w:val="00340258"/>
    <w:rsid w:val="0034175A"/>
    <w:rsid w:val="003510BF"/>
    <w:rsid w:val="00351CF7"/>
    <w:rsid w:val="00351E69"/>
    <w:rsid w:val="00353D9B"/>
    <w:rsid w:val="00362345"/>
    <w:rsid w:val="00362DDC"/>
    <w:rsid w:val="003677B8"/>
    <w:rsid w:val="00367903"/>
    <w:rsid w:val="00372383"/>
    <w:rsid w:val="00380CCE"/>
    <w:rsid w:val="00385EF1"/>
    <w:rsid w:val="003878B8"/>
    <w:rsid w:val="00390A55"/>
    <w:rsid w:val="00391F5B"/>
    <w:rsid w:val="003A09CE"/>
    <w:rsid w:val="003A20CF"/>
    <w:rsid w:val="003A4954"/>
    <w:rsid w:val="003A4C78"/>
    <w:rsid w:val="003A5FD2"/>
    <w:rsid w:val="003A7054"/>
    <w:rsid w:val="003A7A82"/>
    <w:rsid w:val="003B4452"/>
    <w:rsid w:val="003C052B"/>
    <w:rsid w:val="003C1051"/>
    <w:rsid w:val="003C32B1"/>
    <w:rsid w:val="003D0DD0"/>
    <w:rsid w:val="003D25A4"/>
    <w:rsid w:val="003D73C8"/>
    <w:rsid w:val="003E3AA0"/>
    <w:rsid w:val="003F3BFF"/>
    <w:rsid w:val="003F7962"/>
    <w:rsid w:val="003F7C94"/>
    <w:rsid w:val="0041196B"/>
    <w:rsid w:val="00411C71"/>
    <w:rsid w:val="00412A6B"/>
    <w:rsid w:val="00416958"/>
    <w:rsid w:val="004206E0"/>
    <w:rsid w:val="00421438"/>
    <w:rsid w:val="0042468D"/>
    <w:rsid w:val="00426ADE"/>
    <w:rsid w:val="0043053F"/>
    <w:rsid w:val="004325A2"/>
    <w:rsid w:val="00433ED5"/>
    <w:rsid w:val="00433F26"/>
    <w:rsid w:val="00437C8A"/>
    <w:rsid w:val="004507AA"/>
    <w:rsid w:val="004541C3"/>
    <w:rsid w:val="00455B09"/>
    <w:rsid w:val="00456536"/>
    <w:rsid w:val="00462B55"/>
    <w:rsid w:val="00463389"/>
    <w:rsid w:val="004639AB"/>
    <w:rsid w:val="00465791"/>
    <w:rsid w:val="004708B0"/>
    <w:rsid w:val="00472D66"/>
    <w:rsid w:val="004822BC"/>
    <w:rsid w:val="00483D06"/>
    <w:rsid w:val="00484A1A"/>
    <w:rsid w:val="00485CF0"/>
    <w:rsid w:val="004913B2"/>
    <w:rsid w:val="004918F1"/>
    <w:rsid w:val="00492357"/>
    <w:rsid w:val="00496814"/>
    <w:rsid w:val="004B0470"/>
    <w:rsid w:val="004B326C"/>
    <w:rsid w:val="004C2110"/>
    <w:rsid w:val="004C5E16"/>
    <w:rsid w:val="004C7DC3"/>
    <w:rsid w:val="004D1759"/>
    <w:rsid w:val="004D1DFC"/>
    <w:rsid w:val="004D46F1"/>
    <w:rsid w:val="004D4DB0"/>
    <w:rsid w:val="004E3672"/>
    <w:rsid w:val="004F4493"/>
    <w:rsid w:val="004F4F21"/>
    <w:rsid w:val="004F52E7"/>
    <w:rsid w:val="004F7EB2"/>
    <w:rsid w:val="00502093"/>
    <w:rsid w:val="005045A5"/>
    <w:rsid w:val="00504786"/>
    <w:rsid w:val="005255DB"/>
    <w:rsid w:val="00527B54"/>
    <w:rsid w:val="0053407B"/>
    <w:rsid w:val="00536091"/>
    <w:rsid w:val="00540A02"/>
    <w:rsid w:val="0054274B"/>
    <w:rsid w:val="0054400A"/>
    <w:rsid w:val="00544B99"/>
    <w:rsid w:val="00553E1F"/>
    <w:rsid w:val="0055448D"/>
    <w:rsid w:val="00557A75"/>
    <w:rsid w:val="00561EE4"/>
    <w:rsid w:val="00562FA7"/>
    <w:rsid w:val="00565971"/>
    <w:rsid w:val="00565FDD"/>
    <w:rsid w:val="00580C05"/>
    <w:rsid w:val="00580D23"/>
    <w:rsid w:val="00581B02"/>
    <w:rsid w:val="00583C1B"/>
    <w:rsid w:val="005853B0"/>
    <w:rsid w:val="0058699B"/>
    <w:rsid w:val="0059130D"/>
    <w:rsid w:val="005A1CC5"/>
    <w:rsid w:val="005A43B2"/>
    <w:rsid w:val="005A4F4A"/>
    <w:rsid w:val="005B367E"/>
    <w:rsid w:val="005B67C6"/>
    <w:rsid w:val="005D16C8"/>
    <w:rsid w:val="005D2A04"/>
    <w:rsid w:val="005D3181"/>
    <w:rsid w:val="005D71D0"/>
    <w:rsid w:val="005D7725"/>
    <w:rsid w:val="005E2F66"/>
    <w:rsid w:val="005F06B5"/>
    <w:rsid w:val="005F1389"/>
    <w:rsid w:val="005F4E31"/>
    <w:rsid w:val="005F6957"/>
    <w:rsid w:val="00604674"/>
    <w:rsid w:val="00607129"/>
    <w:rsid w:val="00614B8F"/>
    <w:rsid w:val="00616AB3"/>
    <w:rsid w:val="006256D3"/>
    <w:rsid w:val="00626C52"/>
    <w:rsid w:val="0063185D"/>
    <w:rsid w:val="00637FAC"/>
    <w:rsid w:val="006400A9"/>
    <w:rsid w:val="0064530C"/>
    <w:rsid w:val="00647BD7"/>
    <w:rsid w:val="00650137"/>
    <w:rsid w:val="00653884"/>
    <w:rsid w:val="00660B2E"/>
    <w:rsid w:val="00660ED5"/>
    <w:rsid w:val="00662664"/>
    <w:rsid w:val="00663AD7"/>
    <w:rsid w:val="00665189"/>
    <w:rsid w:val="006674F4"/>
    <w:rsid w:val="00671222"/>
    <w:rsid w:val="0067341F"/>
    <w:rsid w:val="00676092"/>
    <w:rsid w:val="0068016C"/>
    <w:rsid w:val="00686515"/>
    <w:rsid w:val="0069088B"/>
    <w:rsid w:val="00691BCE"/>
    <w:rsid w:val="00693EBC"/>
    <w:rsid w:val="00694539"/>
    <w:rsid w:val="00694C8D"/>
    <w:rsid w:val="00697000"/>
    <w:rsid w:val="0069742E"/>
    <w:rsid w:val="006B28CA"/>
    <w:rsid w:val="006B4906"/>
    <w:rsid w:val="006B6EFB"/>
    <w:rsid w:val="006B7977"/>
    <w:rsid w:val="006C281C"/>
    <w:rsid w:val="006C4643"/>
    <w:rsid w:val="006C7B4F"/>
    <w:rsid w:val="006D0A3E"/>
    <w:rsid w:val="006D2281"/>
    <w:rsid w:val="006D37CC"/>
    <w:rsid w:val="006D6876"/>
    <w:rsid w:val="006E530C"/>
    <w:rsid w:val="006F03E2"/>
    <w:rsid w:val="006F3864"/>
    <w:rsid w:val="006F7980"/>
    <w:rsid w:val="006F7F34"/>
    <w:rsid w:val="00700525"/>
    <w:rsid w:val="00701A5A"/>
    <w:rsid w:val="00701E3D"/>
    <w:rsid w:val="00704FDE"/>
    <w:rsid w:val="00705991"/>
    <w:rsid w:val="00712309"/>
    <w:rsid w:val="0071257B"/>
    <w:rsid w:val="007133E6"/>
    <w:rsid w:val="00715248"/>
    <w:rsid w:val="00722A3D"/>
    <w:rsid w:val="007231F5"/>
    <w:rsid w:val="00726739"/>
    <w:rsid w:val="00730F4A"/>
    <w:rsid w:val="007401F4"/>
    <w:rsid w:val="00743C6A"/>
    <w:rsid w:val="007503C2"/>
    <w:rsid w:val="0075077A"/>
    <w:rsid w:val="00756046"/>
    <w:rsid w:val="00774C1E"/>
    <w:rsid w:val="00776D11"/>
    <w:rsid w:val="00777571"/>
    <w:rsid w:val="007A5675"/>
    <w:rsid w:val="007B04F5"/>
    <w:rsid w:val="007B25A2"/>
    <w:rsid w:val="007B686F"/>
    <w:rsid w:val="007C67E1"/>
    <w:rsid w:val="007C7C3E"/>
    <w:rsid w:val="007D407A"/>
    <w:rsid w:val="007D44AB"/>
    <w:rsid w:val="007E01F2"/>
    <w:rsid w:val="007E19ED"/>
    <w:rsid w:val="007E1E9D"/>
    <w:rsid w:val="007E34F4"/>
    <w:rsid w:val="007E4788"/>
    <w:rsid w:val="007F287B"/>
    <w:rsid w:val="007F41E3"/>
    <w:rsid w:val="007F4560"/>
    <w:rsid w:val="007F4998"/>
    <w:rsid w:val="007F4E1F"/>
    <w:rsid w:val="007F69EA"/>
    <w:rsid w:val="008012BF"/>
    <w:rsid w:val="008012F4"/>
    <w:rsid w:val="0081287A"/>
    <w:rsid w:val="008132D2"/>
    <w:rsid w:val="008140EA"/>
    <w:rsid w:val="00825771"/>
    <w:rsid w:val="00831BD1"/>
    <w:rsid w:val="00832EB7"/>
    <w:rsid w:val="008413BE"/>
    <w:rsid w:val="00843EE4"/>
    <w:rsid w:val="00850E78"/>
    <w:rsid w:val="00850EE0"/>
    <w:rsid w:val="008538EB"/>
    <w:rsid w:val="008549CE"/>
    <w:rsid w:val="00854DE4"/>
    <w:rsid w:val="0085611B"/>
    <w:rsid w:val="00856F9B"/>
    <w:rsid w:val="008605D7"/>
    <w:rsid w:val="00861600"/>
    <w:rsid w:val="00864D08"/>
    <w:rsid w:val="00866F31"/>
    <w:rsid w:val="00872A13"/>
    <w:rsid w:val="00875888"/>
    <w:rsid w:val="00890AD9"/>
    <w:rsid w:val="00891526"/>
    <w:rsid w:val="00892E4F"/>
    <w:rsid w:val="00895231"/>
    <w:rsid w:val="00895D85"/>
    <w:rsid w:val="0089637A"/>
    <w:rsid w:val="008A447D"/>
    <w:rsid w:val="008A4A6B"/>
    <w:rsid w:val="008B0A9C"/>
    <w:rsid w:val="008B130C"/>
    <w:rsid w:val="008B1910"/>
    <w:rsid w:val="008B4172"/>
    <w:rsid w:val="008B63D2"/>
    <w:rsid w:val="008B7589"/>
    <w:rsid w:val="008B7F08"/>
    <w:rsid w:val="008C7885"/>
    <w:rsid w:val="008E30BD"/>
    <w:rsid w:val="008E36D9"/>
    <w:rsid w:val="008E3AFD"/>
    <w:rsid w:val="008E4150"/>
    <w:rsid w:val="008E5215"/>
    <w:rsid w:val="008F4F86"/>
    <w:rsid w:val="00903BFE"/>
    <w:rsid w:val="00904A88"/>
    <w:rsid w:val="00904CEF"/>
    <w:rsid w:val="009070E9"/>
    <w:rsid w:val="0090754B"/>
    <w:rsid w:val="00907CC6"/>
    <w:rsid w:val="009117F3"/>
    <w:rsid w:val="009155E8"/>
    <w:rsid w:val="00920041"/>
    <w:rsid w:val="009238E3"/>
    <w:rsid w:val="00923E90"/>
    <w:rsid w:val="00935013"/>
    <w:rsid w:val="00936A18"/>
    <w:rsid w:val="009420F0"/>
    <w:rsid w:val="009421C8"/>
    <w:rsid w:val="00945886"/>
    <w:rsid w:val="00945949"/>
    <w:rsid w:val="00953FF8"/>
    <w:rsid w:val="00954418"/>
    <w:rsid w:val="00955858"/>
    <w:rsid w:val="00956B1E"/>
    <w:rsid w:val="00956E7D"/>
    <w:rsid w:val="00973C51"/>
    <w:rsid w:val="00985954"/>
    <w:rsid w:val="009875FA"/>
    <w:rsid w:val="009920E8"/>
    <w:rsid w:val="00993A2D"/>
    <w:rsid w:val="009A0728"/>
    <w:rsid w:val="009A43EC"/>
    <w:rsid w:val="009B027B"/>
    <w:rsid w:val="009B7238"/>
    <w:rsid w:val="009B76B5"/>
    <w:rsid w:val="009C65D1"/>
    <w:rsid w:val="009D1BA2"/>
    <w:rsid w:val="009D3054"/>
    <w:rsid w:val="009D67EF"/>
    <w:rsid w:val="009E23CA"/>
    <w:rsid w:val="009E5037"/>
    <w:rsid w:val="009E6A6E"/>
    <w:rsid w:val="009F07AA"/>
    <w:rsid w:val="009F19C7"/>
    <w:rsid w:val="009F1D37"/>
    <w:rsid w:val="009F3389"/>
    <w:rsid w:val="009F3FE6"/>
    <w:rsid w:val="009F51A9"/>
    <w:rsid w:val="009F5400"/>
    <w:rsid w:val="009F63B9"/>
    <w:rsid w:val="009F6977"/>
    <w:rsid w:val="00A01448"/>
    <w:rsid w:val="00A01A6C"/>
    <w:rsid w:val="00A060E2"/>
    <w:rsid w:val="00A06DDD"/>
    <w:rsid w:val="00A11753"/>
    <w:rsid w:val="00A131B6"/>
    <w:rsid w:val="00A1452B"/>
    <w:rsid w:val="00A232E6"/>
    <w:rsid w:val="00A23CAF"/>
    <w:rsid w:val="00A24FCE"/>
    <w:rsid w:val="00A25550"/>
    <w:rsid w:val="00A26594"/>
    <w:rsid w:val="00A27C26"/>
    <w:rsid w:val="00A320F5"/>
    <w:rsid w:val="00A32222"/>
    <w:rsid w:val="00A370D3"/>
    <w:rsid w:val="00A44B02"/>
    <w:rsid w:val="00A45C7D"/>
    <w:rsid w:val="00A4699A"/>
    <w:rsid w:val="00A559A3"/>
    <w:rsid w:val="00A61483"/>
    <w:rsid w:val="00A65875"/>
    <w:rsid w:val="00A67B8C"/>
    <w:rsid w:val="00A67E43"/>
    <w:rsid w:val="00A732EB"/>
    <w:rsid w:val="00A7493A"/>
    <w:rsid w:val="00A8104A"/>
    <w:rsid w:val="00A824E5"/>
    <w:rsid w:val="00A90398"/>
    <w:rsid w:val="00A92B49"/>
    <w:rsid w:val="00A93BD3"/>
    <w:rsid w:val="00A9482F"/>
    <w:rsid w:val="00AA151A"/>
    <w:rsid w:val="00AA3F3D"/>
    <w:rsid w:val="00AB1185"/>
    <w:rsid w:val="00AB1FC9"/>
    <w:rsid w:val="00AB6A3F"/>
    <w:rsid w:val="00AC0340"/>
    <w:rsid w:val="00AC154B"/>
    <w:rsid w:val="00AC4942"/>
    <w:rsid w:val="00AC4EBB"/>
    <w:rsid w:val="00AC53AC"/>
    <w:rsid w:val="00AD2218"/>
    <w:rsid w:val="00AD2A0A"/>
    <w:rsid w:val="00AD2FDF"/>
    <w:rsid w:val="00AD3C58"/>
    <w:rsid w:val="00AD3FC8"/>
    <w:rsid w:val="00AD6566"/>
    <w:rsid w:val="00AE7AA4"/>
    <w:rsid w:val="00AE7EDD"/>
    <w:rsid w:val="00AF1800"/>
    <w:rsid w:val="00AF3758"/>
    <w:rsid w:val="00AF534D"/>
    <w:rsid w:val="00AF70EB"/>
    <w:rsid w:val="00B06738"/>
    <w:rsid w:val="00B07329"/>
    <w:rsid w:val="00B10ADA"/>
    <w:rsid w:val="00B10E13"/>
    <w:rsid w:val="00B1778F"/>
    <w:rsid w:val="00B208C4"/>
    <w:rsid w:val="00B2247C"/>
    <w:rsid w:val="00B25343"/>
    <w:rsid w:val="00B307E8"/>
    <w:rsid w:val="00B346D9"/>
    <w:rsid w:val="00B34A09"/>
    <w:rsid w:val="00B4094D"/>
    <w:rsid w:val="00B4219F"/>
    <w:rsid w:val="00B5358F"/>
    <w:rsid w:val="00B56F5E"/>
    <w:rsid w:val="00B62F54"/>
    <w:rsid w:val="00B6594F"/>
    <w:rsid w:val="00B65A9D"/>
    <w:rsid w:val="00B675FB"/>
    <w:rsid w:val="00B71D3F"/>
    <w:rsid w:val="00B72BFF"/>
    <w:rsid w:val="00B733A6"/>
    <w:rsid w:val="00B73492"/>
    <w:rsid w:val="00B817D8"/>
    <w:rsid w:val="00B85593"/>
    <w:rsid w:val="00B90A73"/>
    <w:rsid w:val="00B92810"/>
    <w:rsid w:val="00BA0E07"/>
    <w:rsid w:val="00BA1667"/>
    <w:rsid w:val="00BB01F3"/>
    <w:rsid w:val="00BB17BC"/>
    <w:rsid w:val="00BB19EF"/>
    <w:rsid w:val="00BB4A28"/>
    <w:rsid w:val="00BC060C"/>
    <w:rsid w:val="00BC0A7F"/>
    <w:rsid w:val="00BC3691"/>
    <w:rsid w:val="00BC3801"/>
    <w:rsid w:val="00BC39B9"/>
    <w:rsid w:val="00BD130F"/>
    <w:rsid w:val="00BD36F2"/>
    <w:rsid w:val="00BD5AC1"/>
    <w:rsid w:val="00BD7B5F"/>
    <w:rsid w:val="00BE195F"/>
    <w:rsid w:val="00BE28C5"/>
    <w:rsid w:val="00BE36A3"/>
    <w:rsid w:val="00BE6121"/>
    <w:rsid w:val="00BF01FC"/>
    <w:rsid w:val="00BF31B0"/>
    <w:rsid w:val="00BF4364"/>
    <w:rsid w:val="00BF6877"/>
    <w:rsid w:val="00BF7914"/>
    <w:rsid w:val="00C00161"/>
    <w:rsid w:val="00C02FA2"/>
    <w:rsid w:val="00C02FFC"/>
    <w:rsid w:val="00C13926"/>
    <w:rsid w:val="00C14F3A"/>
    <w:rsid w:val="00C15AD9"/>
    <w:rsid w:val="00C161ED"/>
    <w:rsid w:val="00C17904"/>
    <w:rsid w:val="00C30948"/>
    <w:rsid w:val="00C32B48"/>
    <w:rsid w:val="00C4076E"/>
    <w:rsid w:val="00C42BD8"/>
    <w:rsid w:val="00C43CD8"/>
    <w:rsid w:val="00C44C3A"/>
    <w:rsid w:val="00C47625"/>
    <w:rsid w:val="00C47D80"/>
    <w:rsid w:val="00C47E40"/>
    <w:rsid w:val="00C532E8"/>
    <w:rsid w:val="00C541F6"/>
    <w:rsid w:val="00C5703B"/>
    <w:rsid w:val="00C60470"/>
    <w:rsid w:val="00C60DA6"/>
    <w:rsid w:val="00C64035"/>
    <w:rsid w:val="00C64442"/>
    <w:rsid w:val="00C65891"/>
    <w:rsid w:val="00C7410B"/>
    <w:rsid w:val="00C742B2"/>
    <w:rsid w:val="00C764E1"/>
    <w:rsid w:val="00C768D2"/>
    <w:rsid w:val="00C77660"/>
    <w:rsid w:val="00C80407"/>
    <w:rsid w:val="00C81F7C"/>
    <w:rsid w:val="00C82030"/>
    <w:rsid w:val="00C82729"/>
    <w:rsid w:val="00C841C4"/>
    <w:rsid w:val="00C913BC"/>
    <w:rsid w:val="00C92BE2"/>
    <w:rsid w:val="00C92E12"/>
    <w:rsid w:val="00C9452B"/>
    <w:rsid w:val="00C95050"/>
    <w:rsid w:val="00C97BEC"/>
    <w:rsid w:val="00CA36D3"/>
    <w:rsid w:val="00CB2FEF"/>
    <w:rsid w:val="00CB324A"/>
    <w:rsid w:val="00CB63EC"/>
    <w:rsid w:val="00CC2422"/>
    <w:rsid w:val="00CC2DB6"/>
    <w:rsid w:val="00CC48C8"/>
    <w:rsid w:val="00CC5D3E"/>
    <w:rsid w:val="00CD54C8"/>
    <w:rsid w:val="00CE1875"/>
    <w:rsid w:val="00CE38FD"/>
    <w:rsid w:val="00CE4594"/>
    <w:rsid w:val="00CE4E5B"/>
    <w:rsid w:val="00CE65E1"/>
    <w:rsid w:val="00CF09C9"/>
    <w:rsid w:val="00CF2C81"/>
    <w:rsid w:val="00D02434"/>
    <w:rsid w:val="00D03315"/>
    <w:rsid w:val="00D124BF"/>
    <w:rsid w:val="00D13756"/>
    <w:rsid w:val="00D13E7D"/>
    <w:rsid w:val="00D17E3F"/>
    <w:rsid w:val="00D212ED"/>
    <w:rsid w:val="00D22B36"/>
    <w:rsid w:val="00D27230"/>
    <w:rsid w:val="00D2735F"/>
    <w:rsid w:val="00D27DE7"/>
    <w:rsid w:val="00D34842"/>
    <w:rsid w:val="00D360F1"/>
    <w:rsid w:val="00D402D1"/>
    <w:rsid w:val="00D45060"/>
    <w:rsid w:val="00D5047F"/>
    <w:rsid w:val="00D51665"/>
    <w:rsid w:val="00D51FED"/>
    <w:rsid w:val="00D54D8B"/>
    <w:rsid w:val="00D55189"/>
    <w:rsid w:val="00D55AED"/>
    <w:rsid w:val="00D56611"/>
    <w:rsid w:val="00D569D6"/>
    <w:rsid w:val="00D60642"/>
    <w:rsid w:val="00D61218"/>
    <w:rsid w:val="00D6343C"/>
    <w:rsid w:val="00D65B15"/>
    <w:rsid w:val="00D66556"/>
    <w:rsid w:val="00D71FC9"/>
    <w:rsid w:val="00D73B31"/>
    <w:rsid w:val="00D758B4"/>
    <w:rsid w:val="00D76A21"/>
    <w:rsid w:val="00D80B84"/>
    <w:rsid w:val="00D80C3E"/>
    <w:rsid w:val="00D84487"/>
    <w:rsid w:val="00D848BA"/>
    <w:rsid w:val="00D857C3"/>
    <w:rsid w:val="00D9043E"/>
    <w:rsid w:val="00D92CC9"/>
    <w:rsid w:val="00D940DB"/>
    <w:rsid w:val="00D95E85"/>
    <w:rsid w:val="00DA10E9"/>
    <w:rsid w:val="00DB6210"/>
    <w:rsid w:val="00DC001D"/>
    <w:rsid w:val="00DC04E2"/>
    <w:rsid w:val="00DC09F4"/>
    <w:rsid w:val="00DC19DC"/>
    <w:rsid w:val="00DC688E"/>
    <w:rsid w:val="00DC7118"/>
    <w:rsid w:val="00DD61EF"/>
    <w:rsid w:val="00DE0895"/>
    <w:rsid w:val="00DE152F"/>
    <w:rsid w:val="00DE53EC"/>
    <w:rsid w:val="00DE6A9E"/>
    <w:rsid w:val="00DE6E40"/>
    <w:rsid w:val="00DE7AD1"/>
    <w:rsid w:val="00DF1ED1"/>
    <w:rsid w:val="00DF4FFC"/>
    <w:rsid w:val="00DF686A"/>
    <w:rsid w:val="00E028CA"/>
    <w:rsid w:val="00E14249"/>
    <w:rsid w:val="00E14751"/>
    <w:rsid w:val="00E14907"/>
    <w:rsid w:val="00E22A2B"/>
    <w:rsid w:val="00E24442"/>
    <w:rsid w:val="00E246F1"/>
    <w:rsid w:val="00E25F55"/>
    <w:rsid w:val="00E308F1"/>
    <w:rsid w:val="00E33D65"/>
    <w:rsid w:val="00E3599C"/>
    <w:rsid w:val="00E37457"/>
    <w:rsid w:val="00E40FA5"/>
    <w:rsid w:val="00E52B31"/>
    <w:rsid w:val="00E5509C"/>
    <w:rsid w:val="00E55432"/>
    <w:rsid w:val="00E571E9"/>
    <w:rsid w:val="00E57961"/>
    <w:rsid w:val="00E62E39"/>
    <w:rsid w:val="00E75DD6"/>
    <w:rsid w:val="00E95F38"/>
    <w:rsid w:val="00E9784F"/>
    <w:rsid w:val="00EA3AD2"/>
    <w:rsid w:val="00EA6084"/>
    <w:rsid w:val="00EB0672"/>
    <w:rsid w:val="00EB4EA2"/>
    <w:rsid w:val="00EC5C49"/>
    <w:rsid w:val="00EC7787"/>
    <w:rsid w:val="00ED2AD6"/>
    <w:rsid w:val="00ED51DE"/>
    <w:rsid w:val="00ED768C"/>
    <w:rsid w:val="00EE27F3"/>
    <w:rsid w:val="00EE45FB"/>
    <w:rsid w:val="00F037BE"/>
    <w:rsid w:val="00F0387E"/>
    <w:rsid w:val="00F03D57"/>
    <w:rsid w:val="00F046BF"/>
    <w:rsid w:val="00F1075D"/>
    <w:rsid w:val="00F10C22"/>
    <w:rsid w:val="00F12F9E"/>
    <w:rsid w:val="00F16483"/>
    <w:rsid w:val="00F30E32"/>
    <w:rsid w:val="00F325E0"/>
    <w:rsid w:val="00F37F26"/>
    <w:rsid w:val="00F419DB"/>
    <w:rsid w:val="00F42E5A"/>
    <w:rsid w:val="00F46E56"/>
    <w:rsid w:val="00F543E4"/>
    <w:rsid w:val="00F5685B"/>
    <w:rsid w:val="00F61B8A"/>
    <w:rsid w:val="00F63DAF"/>
    <w:rsid w:val="00F67F0C"/>
    <w:rsid w:val="00F7052E"/>
    <w:rsid w:val="00F743E6"/>
    <w:rsid w:val="00F769A5"/>
    <w:rsid w:val="00F76C04"/>
    <w:rsid w:val="00F76F0A"/>
    <w:rsid w:val="00F80087"/>
    <w:rsid w:val="00F87ED7"/>
    <w:rsid w:val="00F93BA0"/>
    <w:rsid w:val="00FA029D"/>
    <w:rsid w:val="00FA1073"/>
    <w:rsid w:val="00FA39C0"/>
    <w:rsid w:val="00FA4259"/>
    <w:rsid w:val="00FA49A9"/>
    <w:rsid w:val="00FA65BB"/>
    <w:rsid w:val="00FA730F"/>
    <w:rsid w:val="00FB2467"/>
    <w:rsid w:val="00FB2F70"/>
    <w:rsid w:val="00FC01CC"/>
    <w:rsid w:val="00FC2833"/>
    <w:rsid w:val="00FC60DA"/>
    <w:rsid w:val="00FD2160"/>
    <w:rsid w:val="00FE3290"/>
    <w:rsid w:val="00FE46D6"/>
    <w:rsid w:val="00FF3E65"/>
    <w:rsid w:val="00FF4F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4B75E70"/>
  <w15:docId w15:val="{D9D0EA8B-5F5D-45CF-AD33-FDE01D5A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5991"/>
    <w:pPr>
      <w:overflowPunct w:val="0"/>
      <w:autoSpaceDE w:val="0"/>
      <w:autoSpaceDN w:val="0"/>
      <w:adjustRightInd w:val="0"/>
      <w:textAlignment w:val="baseline"/>
    </w:pPr>
  </w:style>
  <w:style w:type="paragraph" w:styleId="Titolo1">
    <w:name w:val="heading 1"/>
    <w:basedOn w:val="Normale"/>
    <w:next w:val="Normale"/>
    <w:qFormat/>
    <w:rsid w:val="00705991"/>
    <w:pPr>
      <w:keepNext/>
      <w:spacing w:before="240" w:after="60"/>
      <w:outlineLvl w:val="0"/>
    </w:pPr>
    <w:rPr>
      <w:rFonts w:ascii="Arial" w:hAnsi="Arial"/>
      <w:b/>
      <w:kern w:val="28"/>
      <w:sz w:val="28"/>
    </w:rPr>
  </w:style>
  <w:style w:type="paragraph" w:styleId="Titolo2">
    <w:name w:val="heading 2"/>
    <w:basedOn w:val="Normale"/>
    <w:next w:val="Normale"/>
    <w:qFormat/>
    <w:rsid w:val="00705991"/>
    <w:pPr>
      <w:keepNext/>
      <w:spacing w:before="240" w:after="60"/>
      <w:outlineLvl w:val="1"/>
    </w:pPr>
    <w:rPr>
      <w:rFonts w:ascii="Arial" w:hAnsi="Arial"/>
      <w:b/>
      <w:i/>
      <w:sz w:val="24"/>
    </w:rPr>
  </w:style>
  <w:style w:type="paragraph" w:styleId="Titolo3">
    <w:name w:val="heading 3"/>
    <w:basedOn w:val="Normale"/>
    <w:next w:val="Normale"/>
    <w:qFormat/>
    <w:rsid w:val="00705991"/>
    <w:pPr>
      <w:keepNext/>
      <w:spacing w:before="240" w:after="60"/>
      <w:outlineLvl w:val="2"/>
    </w:pPr>
    <w:rPr>
      <w:b/>
      <w:sz w:val="24"/>
    </w:rPr>
  </w:style>
  <w:style w:type="paragraph" w:styleId="Titolo4">
    <w:name w:val="heading 4"/>
    <w:basedOn w:val="Normale"/>
    <w:next w:val="Normale"/>
    <w:link w:val="Titolo4Carattere"/>
    <w:qFormat/>
    <w:rsid w:val="00705991"/>
    <w:pPr>
      <w:keepNext/>
      <w:ind w:left="567" w:right="140" w:firstLine="5670"/>
      <w:jc w:val="right"/>
      <w:outlineLvl w:val="3"/>
    </w:pPr>
    <w:rPr>
      <w:sz w:val="24"/>
      <w:u w:val="single"/>
    </w:rPr>
  </w:style>
  <w:style w:type="paragraph" w:styleId="Titolo5">
    <w:name w:val="heading 5"/>
    <w:basedOn w:val="Normale"/>
    <w:next w:val="Normale"/>
    <w:qFormat/>
    <w:rsid w:val="00705991"/>
    <w:pPr>
      <w:keepNext/>
      <w:ind w:left="567" w:right="140" w:firstLine="5670"/>
      <w:jc w:val="both"/>
      <w:outlineLvl w:val="4"/>
    </w:pPr>
    <w:rPr>
      <w:sz w:val="24"/>
      <w:lang w:val="de-DE"/>
    </w:rPr>
  </w:style>
  <w:style w:type="paragraph" w:styleId="Titolo6">
    <w:name w:val="heading 6"/>
    <w:basedOn w:val="Normale"/>
    <w:next w:val="Normale"/>
    <w:qFormat/>
    <w:rsid w:val="00705991"/>
    <w:pPr>
      <w:keepNext/>
      <w:ind w:left="1560" w:right="140" w:hanging="851"/>
      <w:jc w:val="both"/>
      <w:outlineLvl w:val="5"/>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delblocco1">
    <w:name w:val="Testo del blocco1"/>
    <w:basedOn w:val="Normale"/>
    <w:rsid w:val="00705991"/>
    <w:pPr>
      <w:ind w:left="3545" w:right="140" w:firstLine="709"/>
      <w:jc w:val="both"/>
    </w:pPr>
    <w:rPr>
      <w:sz w:val="24"/>
    </w:rPr>
  </w:style>
  <w:style w:type="paragraph" w:customStyle="1" w:styleId="Corpodeltesto21">
    <w:name w:val="Corpo del testo 21"/>
    <w:basedOn w:val="Normale"/>
    <w:rsid w:val="00705991"/>
    <w:pPr>
      <w:ind w:left="993" w:hanging="284"/>
    </w:pPr>
    <w:rPr>
      <w:sz w:val="24"/>
    </w:rPr>
  </w:style>
  <w:style w:type="paragraph" w:customStyle="1" w:styleId="Rientrocorpodeltesto21">
    <w:name w:val="Rientro corpo del testo 21"/>
    <w:basedOn w:val="Normale"/>
    <w:rsid w:val="00705991"/>
    <w:pPr>
      <w:ind w:left="709"/>
      <w:jc w:val="both"/>
    </w:pPr>
    <w:rPr>
      <w:sz w:val="24"/>
    </w:rPr>
  </w:style>
  <w:style w:type="paragraph" w:styleId="Testofumetto">
    <w:name w:val="Balloon Text"/>
    <w:basedOn w:val="Normale"/>
    <w:semiHidden/>
    <w:rsid w:val="00200A25"/>
    <w:rPr>
      <w:rFonts w:ascii="Tahoma" w:hAnsi="Tahoma" w:cs="Tahoma"/>
      <w:sz w:val="16"/>
      <w:szCs w:val="16"/>
    </w:rPr>
  </w:style>
  <w:style w:type="paragraph" w:customStyle="1" w:styleId="Testodelblocco11">
    <w:name w:val="Testo del blocco11"/>
    <w:basedOn w:val="Normale"/>
    <w:rsid w:val="001E253C"/>
    <w:pPr>
      <w:ind w:left="3545" w:right="140" w:firstLine="709"/>
      <w:jc w:val="both"/>
    </w:pPr>
    <w:rPr>
      <w:sz w:val="24"/>
    </w:rPr>
  </w:style>
  <w:style w:type="character" w:customStyle="1" w:styleId="Titolo4Carattere">
    <w:name w:val="Titolo 4 Carattere"/>
    <w:basedOn w:val="Carpredefinitoparagrafo"/>
    <w:link w:val="Titolo4"/>
    <w:rsid w:val="00831BD1"/>
    <w:rPr>
      <w:sz w:val="24"/>
      <w:u w:val="single"/>
    </w:rPr>
  </w:style>
  <w:style w:type="paragraph" w:customStyle="1" w:styleId="rgscorpodeltesto">
    <w:name w:val="rgs_corpodeltesto"/>
    <w:rsid w:val="00A65875"/>
    <w:pPr>
      <w:spacing w:after="120" w:line="360" w:lineRule="auto"/>
      <w:ind w:firstLine="799"/>
      <w:jc w:val="both"/>
    </w:pPr>
    <w:rPr>
      <w:sz w:val="24"/>
      <w:lang w:bidi="he-IL"/>
    </w:rPr>
  </w:style>
  <w:style w:type="table" w:styleId="Grigliatabella">
    <w:name w:val="Table Grid"/>
    <w:basedOn w:val="Tabellanormale"/>
    <w:rsid w:val="005D3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0D169F"/>
    <w:pPr>
      <w:tabs>
        <w:tab w:val="center" w:pos="4819"/>
        <w:tab w:val="right" w:pos="9638"/>
      </w:tabs>
    </w:pPr>
  </w:style>
  <w:style w:type="character" w:customStyle="1" w:styleId="IntestazioneCarattere">
    <w:name w:val="Intestazione Carattere"/>
    <w:basedOn w:val="Carpredefinitoparagrafo"/>
    <w:link w:val="Intestazione"/>
    <w:rsid w:val="000D169F"/>
  </w:style>
  <w:style w:type="paragraph" w:styleId="Pidipagina">
    <w:name w:val="footer"/>
    <w:basedOn w:val="Normale"/>
    <w:link w:val="PidipaginaCarattere"/>
    <w:uiPriority w:val="99"/>
    <w:rsid w:val="000D169F"/>
    <w:pPr>
      <w:tabs>
        <w:tab w:val="center" w:pos="4819"/>
        <w:tab w:val="right" w:pos="9638"/>
      </w:tabs>
    </w:pPr>
  </w:style>
  <w:style w:type="character" w:customStyle="1" w:styleId="PidipaginaCarattere">
    <w:name w:val="Piè di pagina Carattere"/>
    <w:basedOn w:val="Carpredefinitoparagrafo"/>
    <w:link w:val="Pidipagina"/>
    <w:uiPriority w:val="99"/>
    <w:rsid w:val="000D169F"/>
  </w:style>
  <w:style w:type="paragraph" w:customStyle="1" w:styleId="provvr0">
    <w:name w:val="provv_r0"/>
    <w:basedOn w:val="Normale"/>
    <w:rsid w:val="00676092"/>
    <w:pPr>
      <w:overflowPunct/>
      <w:autoSpaceDE/>
      <w:autoSpaceDN/>
      <w:adjustRightInd/>
      <w:spacing w:before="100" w:beforeAutospacing="1" w:after="100" w:afterAutospacing="1"/>
      <w:jc w:val="both"/>
      <w:textAlignment w:val="auto"/>
    </w:pPr>
    <w:rPr>
      <w:sz w:val="24"/>
      <w:szCs w:val="24"/>
    </w:rPr>
  </w:style>
  <w:style w:type="paragraph" w:styleId="NormaleWeb">
    <w:name w:val="Normal (Web)"/>
    <w:basedOn w:val="Normale"/>
    <w:uiPriority w:val="99"/>
    <w:unhideWhenUsed/>
    <w:rsid w:val="00BB17BC"/>
    <w:pPr>
      <w:overflowPunct/>
      <w:autoSpaceDE/>
      <w:autoSpaceDN/>
      <w:adjustRightInd/>
      <w:spacing w:before="100" w:beforeAutospacing="1" w:after="100" w:afterAutospacing="1"/>
      <w:textAlignment w:val="auto"/>
    </w:pPr>
    <w:rPr>
      <w:sz w:val="24"/>
      <w:szCs w:val="24"/>
    </w:rPr>
  </w:style>
  <w:style w:type="paragraph" w:customStyle="1" w:styleId="sentnormal">
    <w:name w:val="sent_normal"/>
    <w:basedOn w:val="Normale"/>
    <w:rsid w:val="00D17E3F"/>
    <w:pPr>
      <w:overflowPunct/>
      <w:autoSpaceDE/>
      <w:autoSpaceDN/>
      <w:adjustRightInd/>
      <w:spacing w:before="100" w:beforeAutospacing="1" w:after="100" w:afterAutospacing="1"/>
      <w:jc w:val="both"/>
      <w:textAlignment w:val="auto"/>
    </w:pPr>
    <w:rPr>
      <w:sz w:val="24"/>
      <w:szCs w:val="24"/>
    </w:rPr>
  </w:style>
  <w:style w:type="paragraph" w:styleId="Paragrafoelenco">
    <w:name w:val="List Paragraph"/>
    <w:basedOn w:val="Normale"/>
    <w:uiPriority w:val="34"/>
    <w:qFormat/>
    <w:rsid w:val="00AF3758"/>
    <w:pPr>
      <w:ind w:left="720"/>
      <w:contextualSpacing/>
    </w:pPr>
  </w:style>
  <w:style w:type="character" w:customStyle="1" w:styleId="rgshead2">
    <w:name w:val="rgs_head2"/>
    <w:autoRedefine/>
    <w:rsid w:val="00693EBC"/>
    <w:rPr>
      <w:rFonts w:ascii="Palace Script MT" w:hAnsi="Palace Script MT"/>
      <w:sz w:val="48"/>
    </w:rPr>
  </w:style>
  <w:style w:type="paragraph" w:styleId="Testonormale">
    <w:name w:val="Plain Text"/>
    <w:basedOn w:val="Normale"/>
    <w:link w:val="TestonormaleCarattere"/>
    <w:rsid w:val="009B027B"/>
    <w:pPr>
      <w:overflowPunct/>
      <w:autoSpaceDE/>
      <w:autoSpaceDN/>
      <w:adjustRightInd/>
      <w:textAlignment w:val="auto"/>
    </w:pPr>
    <w:rPr>
      <w:rFonts w:ascii="Consolas" w:hAnsi="Consolas" w:cs="Consolas"/>
      <w:sz w:val="21"/>
      <w:szCs w:val="21"/>
    </w:rPr>
  </w:style>
  <w:style w:type="character" w:customStyle="1" w:styleId="TestonormaleCarattere">
    <w:name w:val="Testo normale Carattere"/>
    <w:basedOn w:val="Carpredefinitoparagrafo"/>
    <w:link w:val="Testonormale"/>
    <w:rsid w:val="009B027B"/>
    <w:rPr>
      <w:rFonts w:ascii="Consolas" w:hAnsi="Consolas" w:cs="Consolas"/>
      <w:sz w:val="21"/>
      <w:szCs w:val="21"/>
    </w:rPr>
  </w:style>
  <w:style w:type="character" w:customStyle="1" w:styleId="provvnumcomma">
    <w:name w:val="provv_numcomma"/>
    <w:basedOn w:val="Carpredefinitoparagrafo"/>
    <w:rsid w:val="004F4493"/>
  </w:style>
  <w:style w:type="character" w:customStyle="1" w:styleId="linkneltesto">
    <w:name w:val="link_nel_testo"/>
    <w:basedOn w:val="Carpredefinitoparagrafo"/>
    <w:rsid w:val="004F44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190">
      <w:bodyDiv w:val="1"/>
      <w:marLeft w:val="0"/>
      <w:marRight w:val="0"/>
      <w:marTop w:val="0"/>
      <w:marBottom w:val="0"/>
      <w:divBdr>
        <w:top w:val="none" w:sz="0" w:space="0" w:color="auto"/>
        <w:left w:val="none" w:sz="0" w:space="0" w:color="auto"/>
        <w:bottom w:val="none" w:sz="0" w:space="0" w:color="auto"/>
        <w:right w:val="none" w:sz="0" w:space="0" w:color="auto"/>
      </w:divBdr>
    </w:div>
    <w:div w:id="58603001">
      <w:bodyDiv w:val="1"/>
      <w:marLeft w:val="0"/>
      <w:marRight w:val="0"/>
      <w:marTop w:val="0"/>
      <w:marBottom w:val="0"/>
      <w:divBdr>
        <w:top w:val="none" w:sz="0" w:space="0" w:color="auto"/>
        <w:left w:val="none" w:sz="0" w:space="0" w:color="auto"/>
        <w:bottom w:val="none" w:sz="0" w:space="0" w:color="auto"/>
        <w:right w:val="none" w:sz="0" w:space="0" w:color="auto"/>
      </w:divBdr>
    </w:div>
    <w:div w:id="389305281">
      <w:bodyDiv w:val="1"/>
      <w:marLeft w:val="0"/>
      <w:marRight w:val="0"/>
      <w:marTop w:val="0"/>
      <w:marBottom w:val="0"/>
      <w:divBdr>
        <w:top w:val="none" w:sz="0" w:space="0" w:color="auto"/>
        <w:left w:val="none" w:sz="0" w:space="0" w:color="auto"/>
        <w:bottom w:val="none" w:sz="0" w:space="0" w:color="auto"/>
        <w:right w:val="none" w:sz="0" w:space="0" w:color="auto"/>
      </w:divBdr>
    </w:div>
    <w:div w:id="398555632">
      <w:bodyDiv w:val="1"/>
      <w:marLeft w:val="0"/>
      <w:marRight w:val="0"/>
      <w:marTop w:val="465"/>
      <w:marBottom w:val="0"/>
      <w:divBdr>
        <w:top w:val="none" w:sz="0" w:space="0" w:color="auto"/>
        <w:left w:val="none" w:sz="0" w:space="0" w:color="auto"/>
        <w:bottom w:val="none" w:sz="0" w:space="0" w:color="auto"/>
        <w:right w:val="none" w:sz="0" w:space="0" w:color="auto"/>
      </w:divBdr>
      <w:divsChild>
        <w:div w:id="321854049">
          <w:marLeft w:val="0"/>
          <w:marRight w:val="0"/>
          <w:marTop w:val="0"/>
          <w:marBottom w:val="0"/>
          <w:divBdr>
            <w:top w:val="none" w:sz="0" w:space="0" w:color="auto"/>
            <w:left w:val="none" w:sz="0" w:space="0" w:color="auto"/>
            <w:bottom w:val="none" w:sz="0" w:space="0" w:color="auto"/>
            <w:right w:val="none" w:sz="0" w:space="0" w:color="auto"/>
          </w:divBdr>
          <w:divsChild>
            <w:div w:id="1791628013">
              <w:marLeft w:val="0"/>
              <w:marRight w:val="0"/>
              <w:marTop w:val="0"/>
              <w:marBottom w:val="0"/>
              <w:divBdr>
                <w:top w:val="none" w:sz="0" w:space="0" w:color="auto"/>
                <w:left w:val="none" w:sz="0" w:space="0" w:color="auto"/>
                <w:bottom w:val="none" w:sz="0" w:space="0" w:color="auto"/>
                <w:right w:val="none" w:sz="0" w:space="0" w:color="auto"/>
              </w:divBdr>
              <w:divsChild>
                <w:div w:id="820539586">
                  <w:marLeft w:val="0"/>
                  <w:marRight w:val="0"/>
                  <w:marTop w:val="0"/>
                  <w:marBottom w:val="0"/>
                  <w:divBdr>
                    <w:top w:val="none" w:sz="0" w:space="0" w:color="auto"/>
                    <w:left w:val="none" w:sz="0" w:space="0" w:color="auto"/>
                    <w:bottom w:val="none" w:sz="0" w:space="0" w:color="auto"/>
                    <w:right w:val="none" w:sz="0" w:space="0" w:color="auto"/>
                  </w:divBdr>
                  <w:divsChild>
                    <w:div w:id="118686431">
                      <w:marLeft w:val="0"/>
                      <w:marRight w:val="0"/>
                      <w:marTop w:val="0"/>
                      <w:marBottom w:val="0"/>
                      <w:divBdr>
                        <w:top w:val="none" w:sz="0" w:space="0" w:color="auto"/>
                        <w:left w:val="none" w:sz="0" w:space="0" w:color="auto"/>
                        <w:bottom w:val="none" w:sz="0" w:space="0" w:color="auto"/>
                        <w:right w:val="none" w:sz="0" w:space="0" w:color="auto"/>
                      </w:divBdr>
                      <w:divsChild>
                        <w:div w:id="1738823900">
                          <w:marLeft w:val="375"/>
                          <w:marRight w:val="0"/>
                          <w:marTop w:val="0"/>
                          <w:marBottom w:val="0"/>
                          <w:divBdr>
                            <w:top w:val="none" w:sz="0" w:space="0" w:color="auto"/>
                            <w:left w:val="none" w:sz="0" w:space="0" w:color="auto"/>
                            <w:bottom w:val="none" w:sz="0" w:space="0" w:color="auto"/>
                            <w:right w:val="none" w:sz="0" w:space="0" w:color="auto"/>
                          </w:divBdr>
                          <w:divsChild>
                            <w:div w:id="287012795">
                              <w:marLeft w:val="0"/>
                              <w:marRight w:val="0"/>
                              <w:marTop w:val="0"/>
                              <w:marBottom w:val="300"/>
                              <w:divBdr>
                                <w:top w:val="none" w:sz="0" w:space="0" w:color="auto"/>
                                <w:left w:val="single" w:sz="6" w:space="0" w:color="EDEDED"/>
                                <w:bottom w:val="single" w:sz="6" w:space="26" w:color="EDEDED"/>
                                <w:right w:val="single" w:sz="6" w:space="0" w:color="EDEDED"/>
                              </w:divBdr>
                              <w:divsChild>
                                <w:div w:id="3221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654210">
      <w:bodyDiv w:val="1"/>
      <w:marLeft w:val="0"/>
      <w:marRight w:val="0"/>
      <w:marTop w:val="0"/>
      <w:marBottom w:val="0"/>
      <w:divBdr>
        <w:top w:val="none" w:sz="0" w:space="0" w:color="auto"/>
        <w:left w:val="none" w:sz="0" w:space="0" w:color="auto"/>
        <w:bottom w:val="none" w:sz="0" w:space="0" w:color="auto"/>
        <w:right w:val="none" w:sz="0" w:space="0" w:color="auto"/>
      </w:divBdr>
    </w:div>
    <w:div w:id="853808336">
      <w:bodyDiv w:val="1"/>
      <w:marLeft w:val="0"/>
      <w:marRight w:val="0"/>
      <w:marTop w:val="0"/>
      <w:marBottom w:val="0"/>
      <w:divBdr>
        <w:top w:val="none" w:sz="0" w:space="0" w:color="auto"/>
        <w:left w:val="none" w:sz="0" w:space="0" w:color="auto"/>
        <w:bottom w:val="none" w:sz="0" w:space="0" w:color="auto"/>
        <w:right w:val="none" w:sz="0" w:space="0" w:color="auto"/>
      </w:divBdr>
    </w:div>
    <w:div w:id="988941267">
      <w:bodyDiv w:val="1"/>
      <w:marLeft w:val="0"/>
      <w:marRight w:val="0"/>
      <w:marTop w:val="0"/>
      <w:marBottom w:val="0"/>
      <w:divBdr>
        <w:top w:val="none" w:sz="0" w:space="0" w:color="auto"/>
        <w:left w:val="none" w:sz="0" w:space="0" w:color="auto"/>
        <w:bottom w:val="none" w:sz="0" w:space="0" w:color="auto"/>
        <w:right w:val="none" w:sz="0" w:space="0" w:color="auto"/>
      </w:divBdr>
    </w:div>
    <w:div w:id="1110978041">
      <w:bodyDiv w:val="1"/>
      <w:marLeft w:val="0"/>
      <w:marRight w:val="0"/>
      <w:marTop w:val="0"/>
      <w:marBottom w:val="0"/>
      <w:divBdr>
        <w:top w:val="none" w:sz="0" w:space="0" w:color="auto"/>
        <w:left w:val="none" w:sz="0" w:space="0" w:color="auto"/>
        <w:bottom w:val="none" w:sz="0" w:space="0" w:color="auto"/>
        <w:right w:val="none" w:sz="0" w:space="0" w:color="auto"/>
      </w:divBdr>
    </w:div>
    <w:div w:id="1524830484">
      <w:bodyDiv w:val="1"/>
      <w:marLeft w:val="0"/>
      <w:marRight w:val="0"/>
      <w:marTop w:val="0"/>
      <w:marBottom w:val="0"/>
      <w:divBdr>
        <w:top w:val="none" w:sz="0" w:space="0" w:color="auto"/>
        <w:left w:val="none" w:sz="0" w:space="0" w:color="auto"/>
        <w:bottom w:val="none" w:sz="0" w:space="0" w:color="auto"/>
        <w:right w:val="none" w:sz="0" w:space="0" w:color="auto"/>
      </w:divBdr>
      <w:divsChild>
        <w:div w:id="1319529715">
          <w:marLeft w:val="0"/>
          <w:marRight w:val="0"/>
          <w:marTop w:val="0"/>
          <w:marBottom w:val="0"/>
          <w:divBdr>
            <w:top w:val="none" w:sz="0" w:space="0" w:color="auto"/>
            <w:left w:val="none" w:sz="0" w:space="0" w:color="auto"/>
            <w:bottom w:val="none" w:sz="0" w:space="0" w:color="auto"/>
            <w:right w:val="none" w:sz="0" w:space="0" w:color="auto"/>
          </w:divBdr>
          <w:divsChild>
            <w:div w:id="652297373">
              <w:marLeft w:val="0"/>
              <w:marRight w:val="0"/>
              <w:marTop w:val="0"/>
              <w:marBottom w:val="0"/>
              <w:divBdr>
                <w:top w:val="none" w:sz="0" w:space="0" w:color="auto"/>
                <w:left w:val="none" w:sz="0" w:space="0" w:color="auto"/>
                <w:bottom w:val="none" w:sz="0" w:space="0" w:color="auto"/>
                <w:right w:val="none" w:sz="0" w:space="0" w:color="auto"/>
              </w:divBdr>
              <w:divsChild>
                <w:div w:id="1756970740">
                  <w:marLeft w:val="0"/>
                  <w:marRight w:val="0"/>
                  <w:marTop w:val="0"/>
                  <w:marBottom w:val="0"/>
                  <w:divBdr>
                    <w:top w:val="none" w:sz="0" w:space="0" w:color="auto"/>
                    <w:left w:val="none" w:sz="0" w:space="0" w:color="auto"/>
                    <w:bottom w:val="none" w:sz="0" w:space="0" w:color="auto"/>
                    <w:right w:val="none" w:sz="0" w:space="0" w:color="auto"/>
                  </w:divBdr>
                  <w:divsChild>
                    <w:div w:id="444615561">
                      <w:marLeft w:val="0"/>
                      <w:marRight w:val="0"/>
                      <w:marTop w:val="0"/>
                      <w:marBottom w:val="0"/>
                      <w:divBdr>
                        <w:top w:val="none" w:sz="0" w:space="0" w:color="auto"/>
                        <w:left w:val="none" w:sz="0" w:space="0" w:color="auto"/>
                        <w:bottom w:val="none" w:sz="0" w:space="0" w:color="auto"/>
                        <w:right w:val="none" w:sz="0" w:space="0" w:color="auto"/>
                      </w:divBdr>
                      <w:divsChild>
                        <w:div w:id="968827243">
                          <w:marLeft w:val="0"/>
                          <w:marRight w:val="0"/>
                          <w:marTop w:val="0"/>
                          <w:marBottom w:val="0"/>
                          <w:divBdr>
                            <w:top w:val="none" w:sz="0" w:space="0" w:color="auto"/>
                            <w:left w:val="none" w:sz="0" w:space="0" w:color="auto"/>
                            <w:bottom w:val="none" w:sz="0" w:space="0" w:color="auto"/>
                            <w:right w:val="none" w:sz="0" w:space="0" w:color="auto"/>
                          </w:divBdr>
                          <w:divsChild>
                            <w:div w:id="1958217763">
                              <w:marLeft w:val="0"/>
                              <w:marRight w:val="0"/>
                              <w:marTop w:val="0"/>
                              <w:marBottom w:val="0"/>
                              <w:divBdr>
                                <w:top w:val="none" w:sz="0" w:space="0" w:color="auto"/>
                                <w:left w:val="none" w:sz="0" w:space="0" w:color="auto"/>
                                <w:bottom w:val="none" w:sz="0" w:space="0" w:color="auto"/>
                                <w:right w:val="none" w:sz="0" w:space="0" w:color="auto"/>
                              </w:divBdr>
                              <w:divsChild>
                                <w:div w:id="1414819287">
                                  <w:marLeft w:val="0"/>
                                  <w:marRight w:val="0"/>
                                  <w:marTop w:val="0"/>
                                  <w:marBottom w:val="0"/>
                                  <w:divBdr>
                                    <w:top w:val="none" w:sz="0" w:space="0" w:color="auto"/>
                                    <w:left w:val="none" w:sz="0" w:space="0" w:color="auto"/>
                                    <w:bottom w:val="none" w:sz="0" w:space="0" w:color="auto"/>
                                    <w:right w:val="none" w:sz="0" w:space="0" w:color="auto"/>
                                  </w:divBdr>
                                  <w:divsChild>
                                    <w:div w:id="799540360">
                                      <w:marLeft w:val="0"/>
                                      <w:marRight w:val="0"/>
                                      <w:marTop w:val="0"/>
                                      <w:marBottom w:val="0"/>
                                      <w:divBdr>
                                        <w:top w:val="none" w:sz="0" w:space="0" w:color="auto"/>
                                        <w:left w:val="none" w:sz="0" w:space="0" w:color="auto"/>
                                        <w:bottom w:val="none" w:sz="0" w:space="0" w:color="auto"/>
                                        <w:right w:val="none" w:sz="0" w:space="0" w:color="auto"/>
                                      </w:divBdr>
                                      <w:divsChild>
                                        <w:div w:id="2050565454">
                                          <w:marLeft w:val="0"/>
                                          <w:marRight w:val="0"/>
                                          <w:marTop w:val="0"/>
                                          <w:marBottom w:val="0"/>
                                          <w:divBdr>
                                            <w:top w:val="none" w:sz="0" w:space="0" w:color="auto"/>
                                            <w:left w:val="none" w:sz="0" w:space="0" w:color="auto"/>
                                            <w:bottom w:val="none" w:sz="0" w:space="0" w:color="auto"/>
                                            <w:right w:val="none" w:sz="0" w:space="0" w:color="auto"/>
                                          </w:divBdr>
                                          <w:divsChild>
                                            <w:div w:id="710111710">
                                              <w:marLeft w:val="0"/>
                                              <w:marRight w:val="0"/>
                                              <w:marTop w:val="0"/>
                                              <w:marBottom w:val="0"/>
                                              <w:divBdr>
                                                <w:top w:val="none" w:sz="0" w:space="0" w:color="auto"/>
                                                <w:left w:val="none" w:sz="0" w:space="0" w:color="auto"/>
                                                <w:bottom w:val="none" w:sz="0" w:space="0" w:color="auto"/>
                                                <w:right w:val="none" w:sz="0" w:space="0" w:color="auto"/>
                                              </w:divBdr>
                                              <w:divsChild>
                                                <w:div w:id="819420488">
                                                  <w:marLeft w:val="0"/>
                                                  <w:marRight w:val="0"/>
                                                  <w:marTop w:val="0"/>
                                                  <w:marBottom w:val="0"/>
                                                  <w:divBdr>
                                                    <w:top w:val="none" w:sz="0" w:space="0" w:color="auto"/>
                                                    <w:left w:val="none" w:sz="0" w:space="0" w:color="auto"/>
                                                    <w:bottom w:val="none" w:sz="0" w:space="0" w:color="auto"/>
                                                    <w:right w:val="none" w:sz="0" w:space="0" w:color="auto"/>
                                                  </w:divBdr>
                                                  <w:divsChild>
                                                    <w:div w:id="13473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550497">
      <w:bodyDiv w:val="1"/>
      <w:marLeft w:val="0"/>
      <w:marRight w:val="0"/>
      <w:marTop w:val="0"/>
      <w:marBottom w:val="0"/>
      <w:divBdr>
        <w:top w:val="none" w:sz="0" w:space="0" w:color="auto"/>
        <w:left w:val="none" w:sz="0" w:space="0" w:color="auto"/>
        <w:bottom w:val="none" w:sz="0" w:space="0" w:color="auto"/>
        <w:right w:val="none" w:sz="0" w:space="0" w:color="auto"/>
      </w:divBdr>
    </w:div>
    <w:div w:id="1992900479">
      <w:bodyDiv w:val="1"/>
      <w:marLeft w:val="0"/>
      <w:marRight w:val="0"/>
      <w:marTop w:val="0"/>
      <w:marBottom w:val="0"/>
      <w:divBdr>
        <w:top w:val="none" w:sz="0" w:space="0" w:color="auto"/>
        <w:left w:val="none" w:sz="0" w:space="0" w:color="auto"/>
        <w:bottom w:val="none" w:sz="0" w:space="0" w:color="auto"/>
        <w:right w:val="none" w:sz="0" w:space="0" w:color="auto"/>
      </w:divBdr>
    </w:div>
    <w:div w:id="201263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leggiditalia.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leggiditalia.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a.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leggiditalia.it/" TargetMode="External"/><Relationship Id="rId5" Type="http://schemas.openxmlformats.org/officeDocument/2006/relationships/webSettings" Target="webSettings.xml"/><Relationship Id="rId15" Type="http://schemas.openxmlformats.org/officeDocument/2006/relationships/hyperlink" Target="http://pa.leggiditalia.it/" TargetMode="External"/><Relationship Id="rId10" Type="http://schemas.openxmlformats.org/officeDocument/2006/relationships/hyperlink" Target="http://pa.leggiditali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leggiditalia.it/" TargetMode="External"/><Relationship Id="rId14" Type="http://schemas.openxmlformats.org/officeDocument/2006/relationships/hyperlink" Target="http://pa.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5EE47-CA81-40EA-AD2A-A2E06065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11275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All’ igop divisione</vt:lpstr>
    </vt:vector>
  </TitlesOfParts>
  <Company>M.E.F.</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igop divisione</dc:title>
  <dc:creator>I.G.O.P.</dc:creator>
  <cp:lastModifiedBy>Rosa Dotro</cp:lastModifiedBy>
  <cp:revision>2</cp:revision>
  <cp:lastPrinted>2018-11-22T16:03:00Z</cp:lastPrinted>
  <dcterms:created xsi:type="dcterms:W3CDTF">2018-11-28T18:40:00Z</dcterms:created>
  <dcterms:modified xsi:type="dcterms:W3CDTF">2018-11-28T18:40:00Z</dcterms:modified>
</cp:coreProperties>
</file>